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84" w:rsidRPr="00C95A56" w:rsidRDefault="00111084" w:rsidP="00C95A56">
      <w:pPr>
        <w:spacing w:after="0" w:line="23" w:lineRule="atLeast"/>
        <w:jc w:val="both"/>
        <w:rPr>
          <w:rFonts w:ascii="Garamond" w:hAnsi="Garamond"/>
        </w:rPr>
      </w:pPr>
    </w:p>
    <w:p w:rsidR="005C2C05" w:rsidRPr="00C95A56" w:rsidRDefault="005C2C05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>PI 4c Wspieranie efektywności energetycznej, inteligentnego zarządzania energią i wykorzystywania odnawialnych źródeł energii w budynkach publicznych, i w sektorze mieszkaniowym</w:t>
      </w:r>
    </w:p>
    <w:p w:rsid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5C2C05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Wskaźniki </w:t>
      </w:r>
      <w:r w:rsidR="005C2C05" w:rsidRPr="00C95A56">
        <w:rPr>
          <w:rFonts w:ascii="Garamond" w:hAnsi="Garamond"/>
        </w:rPr>
        <w:t>Rezultat</w:t>
      </w:r>
      <w:r w:rsidRPr="00C95A56">
        <w:rPr>
          <w:rFonts w:ascii="Garamond" w:hAnsi="Garamond"/>
        </w:rPr>
        <w:t>u</w:t>
      </w:r>
      <w:r w:rsidR="005C2C05" w:rsidRPr="00C95A56">
        <w:rPr>
          <w:rFonts w:ascii="Garamond" w:hAnsi="Garamond"/>
        </w:rPr>
        <w:t>:</w:t>
      </w:r>
    </w:p>
    <w:p w:rsidR="005C2C05" w:rsidRPr="00C95A56" w:rsidRDefault="00C80F4E" w:rsidP="00C95A56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Zmniejszenie s</w:t>
      </w:r>
      <w:r w:rsidR="005C2C05" w:rsidRPr="00C95A56">
        <w:rPr>
          <w:rFonts w:ascii="Garamond" w:hAnsi="Garamond"/>
        </w:rPr>
        <w:t>przedaż</w:t>
      </w:r>
      <w:r w:rsidRPr="00C95A56">
        <w:rPr>
          <w:rFonts w:ascii="Garamond" w:hAnsi="Garamond"/>
        </w:rPr>
        <w:t>y</w:t>
      </w:r>
      <w:r w:rsidR="005C2C05" w:rsidRPr="00C95A56">
        <w:rPr>
          <w:rFonts w:ascii="Garamond" w:hAnsi="Garamond"/>
        </w:rPr>
        <w:t xml:space="preserve"> energii cieplnej na cele komunalno-bytowe – GJ/rok</w:t>
      </w: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5C2C05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5C2C05" w:rsidRPr="00C95A56" w:rsidRDefault="005C2C05" w:rsidP="00C95A56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gospodarstw domowych z lepszą klasą zużycia energii – szt.</w:t>
      </w:r>
    </w:p>
    <w:p w:rsidR="005C2C05" w:rsidRPr="00C95A56" w:rsidRDefault="005C2C05" w:rsidP="00C95A56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Zmniejszenie rocznego zużycia energii pierwotnej w budynkach publicznych – </w:t>
      </w:r>
      <w:proofErr w:type="spellStart"/>
      <w:r w:rsidRPr="00C95A56">
        <w:rPr>
          <w:rFonts w:ascii="Garamond" w:hAnsi="Garamond"/>
        </w:rPr>
        <w:t>kWh</w:t>
      </w:r>
      <w:proofErr w:type="spellEnd"/>
      <w:r w:rsidRPr="00C95A56">
        <w:rPr>
          <w:rFonts w:ascii="Garamond" w:hAnsi="Garamond"/>
        </w:rPr>
        <w:t>/rok</w:t>
      </w:r>
    </w:p>
    <w:p w:rsidR="005C2C05" w:rsidRPr="00C95A56" w:rsidRDefault="005C2C05" w:rsidP="00C95A56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Szacowany roczny spadek emisji gazów cieplarnianych – Mg CO</w:t>
      </w:r>
      <w:r w:rsidRPr="00C95A56">
        <w:rPr>
          <w:rFonts w:ascii="Garamond" w:hAnsi="Garamond"/>
          <w:vertAlign w:val="subscript"/>
        </w:rPr>
        <w:t>2</w:t>
      </w:r>
      <w:r w:rsidRPr="00C95A56">
        <w:rPr>
          <w:rFonts w:ascii="Garamond" w:hAnsi="Garamond"/>
        </w:rPr>
        <w:t>/rok</w:t>
      </w:r>
    </w:p>
    <w:p w:rsidR="005C2C05" w:rsidRPr="00C95A56" w:rsidRDefault="005C2C05" w:rsidP="00C95A56">
      <w:pPr>
        <w:pStyle w:val="Akapitzlist"/>
        <w:numPr>
          <w:ilvl w:val="0"/>
          <w:numId w:val="1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Liczba zmodernizowanych energetycznie budynków – szt. </w:t>
      </w:r>
    </w:p>
    <w:p w:rsidR="005C2C05" w:rsidRPr="00C95A56" w:rsidRDefault="005C2C05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Default="00C95A56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</w:p>
    <w:p w:rsidR="005C2C05" w:rsidRPr="00C95A56" w:rsidRDefault="005C2C05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>PI 4e Promowanie strategii niskoemisyjnych dla wszystkich rodzajów terytoriów, w szczególności dla obszarów miejskich, w tym wspieranie zrównoważonej multimodalnej mobilności miejskiej i działań adaptacyjnych mających oddziaływanie łagodzące na zmiany klimatu.</w:t>
      </w:r>
    </w:p>
    <w:p w:rsid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5C2C05" w:rsidRPr="00C95A56" w:rsidRDefault="005C2C05" w:rsidP="00C95A56">
      <w:pPr>
        <w:pStyle w:val="Akapitzlist"/>
        <w:numPr>
          <w:ilvl w:val="0"/>
          <w:numId w:val="2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przewozów pasażerów komunikacją miejską na 1 mieszkańca obszarów miejskich – szt.</w:t>
      </w: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5C2C05" w:rsidRPr="00C95A56" w:rsidRDefault="005C2C05" w:rsidP="00C95A56">
      <w:pPr>
        <w:pStyle w:val="Akapitzlist"/>
        <w:numPr>
          <w:ilvl w:val="0"/>
          <w:numId w:val="2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Długość wybudowanych ścieżek rowerowych</w:t>
      </w:r>
      <w:r w:rsidR="00114472" w:rsidRPr="00C95A56">
        <w:rPr>
          <w:rFonts w:ascii="Garamond" w:hAnsi="Garamond"/>
        </w:rPr>
        <w:t xml:space="preserve"> – km</w:t>
      </w:r>
    </w:p>
    <w:p w:rsidR="00114472" w:rsidRPr="00C95A56" w:rsidRDefault="00114472" w:rsidP="00C95A56">
      <w:pPr>
        <w:pStyle w:val="Akapitzlist"/>
        <w:numPr>
          <w:ilvl w:val="0"/>
          <w:numId w:val="2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zakupionych jednostek taboru pasażerskiego w publicznym transporcie zbiorowym komunikacji miejskiej – szt.</w:t>
      </w:r>
    </w:p>
    <w:p w:rsidR="00114472" w:rsidRPr="00C95A56" w:rsidRDefault="00114472" w:rsidP="00C95A56">
      <w:pPr>
        <w:pStyle w:val="Akapitzlist"/>
        <w:numPr>
          <w:ilvl w:val="0"/>
          <w:numId w:val="2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Liczba zainstalowanych inteligentnych systemów transportowych – szt. </w:t>
      </w:r>
    </w:p>
    <w:p w:rsidR="00114472" w:rsidRPr="00C95A56" w:rsidRDefault="00114472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Default="00C95A56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</w:p>
    <w:p w:rsidR="00114472" w:rsidRPr="00C95A56" w:rsidRDefault="00114472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>PI 6b Inwestowanie w sektor gospodarki wodnej celem wypełnienia zobowiązań określonych w dorobku prawnym Unii w zakresie środowiska oraz zaspokojenia wykraczających poza te zobowiązania potrzeb inwestycyjnych, określonych przez państwa członkowskie</w:t>
      </w:r>
    </w:p>
    <w:p w:rsid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114472" w:rsidRPr="00C95A56" w:rsidRDefault="00114472" w:rsidP="00C95A56">
      <w:pPr>
        <w:pStyle w:val="Akapitzlist"/>
        <w:numPr>
          <w:ilvl w:val="0"/>
          <w:numId w:val="3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Odsetek ludności korzystającej z oczyszczalni ścieków – %</w:t>
      </w: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114472" w:rsidRPr="00C95A56" w:rsidRDefault="00114472" w:rsidP="00C95A56">
      <w:pPr>
        <w:pStyle w:val="Akapitzlist"/>
        <w:numPr>
          <w:ilvl w:val="0"/>
          <w:numId w:val="3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Liczba dodatkowych osób korzystających z ulepszonego oczyszczania ścieków – RLM </w:t>
      </w:r>
    </w:p>
    <w:p w:rsidR="00114472" w:rsidRPr="00C95A56" w:rsidRDefault="00114472" w:rsidP="00C95A56">
      <w:pPr>
        <w:pStyle w:val="Akapitzlist"/>
        <w:numPr>
          <w:ilvl w:val="0"/>
          <w:numId w:val="3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Liczba dodatkowych osób korzystających z ulepszonego zaopatrzenia w wodę – osoby </w:t>
      </w:r>
    </w:p>
    <w:p w:rsidR="00114472" w:rsidRPr="00C95A56" w:rsidRDefault="00114472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Default="00C95A56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</w:p>
    <w:p w:rsidR="00114472" w:rsidRPr="00C95A56" w:rsidRDefault="00114472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>PI 6c Zachowanie, ochrona, promowanie i rozwój dziedzictwa naturalnego i kulturowego</w:t>
      </w:r>
    </w:p>
    <w:p w:rsid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782E96" w:rsidRPr="00C95A56" w:rsidRDefault="00782E96" w:rsidP="00C95A5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Zwiedzający muzea i oddziały w gestii samorządu gmin, powiatów i miast na prawach powiatu – </w:t>
      </w:r>
      <w:r w:rsidRPr="00C95A56">
        <w:rPr>
          <w:rFonts w:ascii="Garamond" w:hAnsi="Garamond" w:cs="Cambria"/>
        </w:rPr>
        <w:t>osoby/1 000 mieszkańców</w:t>
      </w: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782E96" w:rsidRPr="00C95A56" w:rsidRDefault="00782E96" w:rsidP="00C95A56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Wzrost</w:t>
      </w:r>
      <w:r w:rsidR="00A41A38" w:rsidRPr="00C95A56">
        <w:rPr>
          <w:rFonts w:ascii="Garamond" w:hAnsi="Garamond"/>
        </w:rPr>
        <w:t xml:space="preserve"> </w:t>
      </w:r>
      <w:r w:rsidRPr="00C95A56">
        <w:rPr>
          <w:rFonts w:ascii="Garamond" w:hAnsi="Garamond"/>
        </w:rPr>
        <w:t>oczekiwanej</w:t>
      </w:r>
      <w:r w:rsidR="00A41A38" w:rsidRPr="00C95A56">
        <w:rPr>
          <w:rFonts w:ascii="Garamond" w:hAnsi="Garamond"/>
        </w:rPr>
        <w:t xml:space="preserve"> </w:t>
      </w:r>
      <w:r w:rsidRPr="00C95A56">
        <w:rPr>
          <w:rFonts w:ascii="Garamond" w:hAnsi="Garamond"/>
        </w:rPr>
        <w:t>liczby</w:t>
      </w:r>
      <w:r w:rsidR="00A41A38" w:rsidRPr="00C95A56">
        <w:rPr>
          <w:rFonts w:ascii="Garamond" w:hAnsi="Garamond"/>
        </w:rPr>
        <w:t xml:space="preserve"> </w:t>
      </w:r>
      <w:r w:rsidRPr="00C95A56">
        <w:rPr>
          <w:rFonts w:ascii="Garamond" w:hAnsi="Garamond"/>
        </w:rPr>
        <w:t>odwiedzin w</w:t>
      </w:r>
      <w:r w:rsidR="00A41A38" w:rsidRPr="00C95A56">
        <w:rPr>
          <w:rFonts w:ascii="Garamond" w:hAnsi="Garamond"/>
        </w:rPr>
        <w:t xml:space="preserve"> </w:t>
      </w:r>
      <w:r w:rsidRPr="00C95A56">
        <w:rPr>
          <w:rFonts w:ascii="Garamond" w:hAnsi="Garamond"/>
        </w:rPr>
        <w:t>objętych</w:t>
      </w:r>
      <w:r w:rsidR="00A41A38" w:rsidRPr="00C95A56">
        <w:rPr>
          <w:rFonts w:ascii="Garamond" w:hAnsi="Garamond"/>
        </w:rPr>
        <w:t xml:space="preserve"> </w:t>
      </w:r>
      <w:r w:rsidRPr="00C95A56">
        <w:rPr>
          <w:rFonts w:ascii="Garamond" w:hAnsi="Garamond"/>
        </w:rPr>
        <w:t>wsparciem</w:t>
      </w:r>
      <w:r w:rsidR="00A41A38" w:rsidRPr="00C95A56">
        <w:rPr>
          <w:rFonts w:ascii="Garamond" w:hAnsi="Garamond"/>
        </w:rPr>
        <w:t xml:space="preserve"> </w:t>
      </w:r>
      <w:r w:rsidRPr="00C95A56">
        <w:rPr>
          <w:rFonts w:ascii="Garamond" w:hAnsi="Garamond"/>
        </w:rPr>
        <w:t>miejscach</w:t>
      </w:r>
      <w:r w:rsidR="00A41A38" w:rsidRPr="00C95A56">
        <w:rPr>
          <w:rFonts w:ascii="Garamond" w:hAnsi="Garamond"/>
        </w:rPr>
        <w:t xml:space="preserve"> </w:t>
      </w:r>
      <w:r w:rsidRPr="00C95A56">
        <w:rPr>
          <w:rFonts w:ascii="Garamond" w:hAnsi="Garamond"/>
        </w:rPr>
        <w:t>należących do</w:t>
      </w:r>
      <w:r w:rsidR="00A41A38" w:rsidRPr="00C95A56">
        <w:rPr>
          <w:rFonts w:ascii="Garamond" w:hAnsi="Garamond"/>
        </w:rPr>
        <w:t xml:space="preserve"> </w:t>
      </w:r>
      <w:r w:rsidRPr="00C95A56">
        <w:rPr>
          <w:rFonts w:ascii="Garamond" w:hAnsi="Garamond"/>
        </w:rPr>
        <w:t>dziedzictwa</w:t>
      </w:r>
      <w:r w:rsidR="00A41A38" w:rsidRPr="00C95A56">
        <w:rPr>
          <w:rFonts w:ascii="Garamond" w:hAnsi="Garamond"/>
        </w:rPr>
        <w:t xml:space="preserve"> </w:t>
      </w:r>
      <w:r w:rsidRPr="00C95A56">
        <w:rPr>
          <w:rFonts w:ascii="Garamond" w:hAnsi="Garamond"/>
        </w:rPr>
        <w:t>kulturalnego i</w:t>
      </w:r>
      <w:r w:rsidR="00A41A38" w:rsidRPr="00C95A56">
        <w:rPr>
          <w:rFonts w:ascii="Garamond" w:hAnsi="Garamond"/>
        </w:rPr>
        <w:t xml:space="preserve"> naturalnego oraz stanowiących atrakcje turystyczne – odwiedziny/rok</w:t>
      </w:r>
    </w:p>
    <w:p w:rsidR="00A41A38" w:rsidRPr="00C95A56" w:rsidRDefault="00A41A38" w:rsidP="00C95A56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zabytków nieruchomych objętych wsparciem – szt.</w:t>
      </w:r>
    </w:p>
    <w:p w:rsidR="00A41A38" w:rsidRPr="00C95A56" w:rsidRDefault="00A41A38" w:rsidP="00C95A56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instytucji kultury objętych wsparciem – szt.</w:t>
      </w:r>
    </w:p>
    <w:p w:rsidR="00A41A38" w:rsidRPr="00C95A56" w:rsidRDefault="00A41A38" w:rsidP="00C95A56">
      <w:pPr>
        <w:spacing w:after="0" w:line="23" w:lineRule="atLeast"/>
        <w:jc w:val="both"/>
        <w:rPr>
          <w:rFonts w:ascii="Garamond" w:hAnsi="Garamond"/>
        </w:rPr>
      </w:pPr>
    </w:p>
    <w:p w:rsidR="00A41A38" w:rsidRPr="00C95A56" w:rsidRDefault="00A41A38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lastRenderedPageBreak/>
        <w:t xml:space="preserve">PI 6d Ochrona i przywrócenie różnorodności biologicznej, ochrona i rekultywacja gleby oraz wspieranie usług </w:t>
      </w:r>
      <w:proofErr w:type="spellStart"/>
      <w:r w:rsidRPr="00C95A56">
        <w:rPr>
          <w:rFonts w:ascii="Garamond" w:hAnsi="Garamond" w:cstheme="minorHAnsi"/>
          <w:b/>
        </w:rPr>
        <w:t>ekosystemowych</w:t>
      </w:r>
      <w:proofErr w:type="spellEnd"/>
      <w:r w:rsidRPr="00C95A56">
        <w:rPr>
          <w:rFonts w:ascii="Garamond" w:hAnsi="Garamond" w:cstheme="minorHAnsi"/>
          <w:b/>
        </w:rPr>
        <w:t>, także poprzez program „Natura 2000” i zieloną infrastrukturę</w:t>
      </w: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A41A38" w:rsidRPr="00C95A56" w:rsidRDefault="00A41A38" w:rsidP="00C95A5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Udział powierzchni obszarów chronionych w powierzchni ogółem – % </w:t>
      </w:r>
    </w:p>
    <w:p w:rsid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A41A38" w:rsidRPr="00C95A56" w:rsidRDefault="00A41A38" w:rsidP="00C95A5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Powierzchnia siedlisk wspieranych w celu uzyskania lepszego statusu ochrony – ha</w:t>
      </w:r>
    </w:p>
    <w:p w:rsidR="00A41A38" w:rsidRPr="00C95A56" w:rsidRDefault="00A41A38" w:rsidP="00C95A5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wspartych form ochrony przyrody – szt.</w:t>
      </w:r>
    </w:p>
    <w:p w:rsidR="00A41A38" w:rsidRPr="00C95A56" w:rsidRDefault="00A41A38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Default="00C95A56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</w:p>
    <w:p w:rsidR="00A41A38" w:rsidRPr="00C95A56" w:rsidRDefault="00A41A38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>PI 9b Wspieranie rewitalizacji fizycznej, gospodarczej i społecznej ubogich społeczności na obszarach miejskich i wiejskich</w:t>
      </w:r>
    </w:p>
    <w:p w:rsidR="00A41A38" w:rsidRPr="00C95A56" w:rsidRDefault="00A41A38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C80F4E" w:rsidRPr="00C95A56" w:rsidRDefault="00C80F4E" w:rsidP="00C95A56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 ożywienia społeczno – gospodarczego na obszarach miejskich – %</w:t>
      </w:r>
    </w:p>
    <w:p w:rsid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C95A56" w:rsidRPr="00C95A56" w:rsidRDefault="00A41A38" w:rsidP="00C95A56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Otwarta przestrzeń utworzona lub rekultywowana na obszarach miejskich – m</w:t>
      </w:r>
      <w:r w:rsidRPr="00C95A56">
        <w:rPr>
          <w:rFonts w:ascii="Garamond" w:hAnsi="Garamond"/>
          <w:vertAlign w:val="superscript"/>
        </w:rPr>
        <w:t>2</w:t>
      </w:r>
    </w:p>
    <w:p w:rsidR="00A41A38" w:rsidRPr="00C95A56" w:rsidRDefault="00A41A38" w:rsidP="00C95A56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Budynki publiczne lub komercyjne wybudowane lub wyremontowane na obszarach miejskich – m</w:t>
      </w:r>
      <w:r w:rsidRPr="00C95A56">
        <w:rPr>
          <w:rFonts w:ascii="Garamond" w:hAnsi="Garamond"/>
          <w:vertAlign w:val="superscript"/>
        </w:rPr>
        <w:t>2</w:t>
      </w:r>
    </w:p>
    <w:p w:rsidR="003A3419" w:rsidRPr="00C95A56" w:rsidRDefault="003A3419" w:rsidP="00C95A56">
      <w:pPr>
        <w:pStyle w:val="Akapitzlist"/>
        <w:numPr>
          <w:ilvl w:val="0"/>
          <w:numId w:val="6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Wyremontowane budynki mieszkalne na obszarach miejskich – jednostki mieszkalne</w:t>
      </w:r>
    </w:p>
    <w:p w:rsidR="003A3419" w:rsidRPr="00C95A56" w:rsidRDefault="003A3419" w:rsidP="00C95A5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3" w:lineRule="atLeast"/>
        <w:jc w:val="both"/>
        <w:rPr>
          <w:rFonts w:ascii="Garamond" w:hAnsi="Garamond" w:cs="Cambria"/>
        </w:rPr>
      </w:pPr>
      <w:r w:rsidRPr="00C95A56">
        <w:rPr>
          <w:rFonts w:ascii="Garamond" w:hAnsi="Garamond" w:cs="Cambria"/>
        </w:rPr>
        <w:t xml:space="preserve">Liczba obiektów infrastruktury zlokalizowanych na </w:t>
      </w:r>
      <w:proofErr w:type="spellStart"/>
      <w:r w:rsidRPr="00C95A56">
        <w:rPr>
          <w:rFonts w:ascii="Garamond" w:hAnsi="Garamond" w:cs="Cambria"/>
        </w:rPr>
        <w:t>rewitalizowanych</w:t>
      </w:r>
      <w:proofErr w:type="spellEnd"/>
      <w:r w:rsidRPr="00C95A56">
        <w:rPr>
          <w:rFonts w:ascii="Garamond" w:hAnsi="Garamond" w:cs="Cambria"/>
        </w:rPr>
        <w:t xml:space="preserve"> obszarach – szt.</w:t>
      </w:r>
    </w:p>
    <w:p w:rsidR="003A3419" w:rsidRPr="00C95A56" w:rsidRDefault="003A3419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Default="00C95A56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</w:p>
    <w:p w:rsidR="009C74F6" w:rsidRPr="00C95A56" w:rsidRDefault="009C74F6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>PI 10a Inwestowanie w kształcenie, szkolenie oraz szkolenie zawodowe na rzecz zdobywania, umiejętności i uczenia się przez całe życie poprzez rozwój infrastruktury edukacyjnej i szkoleniowej</w:t>
      </w:r>
    </w:p>
    <w:p w:rsidR="009C74F6" w:rsidRPr="00C95A56" w:rsidRDefault="009C74F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3F3439" w:rsidRPr="00C95A56" w:rsidRDefault="003F3439" w:rsidP="00C95A56">
      <w:pPr>
        <w:pStyle w:val="Akapitzlist"/>
        <w:numPr>
          <w:ilvl w:val="0"/>
          <w:numId w:val="7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Zdawalność egzaminów potwierdzających kwalifikacje zawodowe wśród uczniów ZSZ – %</w:t>
      </w:r>
    </w:p>
    <w:p w:rsidR="003F3439" w:rsidRPr="00C95A56" w:rsidRDefault="003F3439" w:rsidP="00C95A56">
      <w:pPr>
        <w:pStyle w:val="Akapitzlist"/>
        <w:numPr>
          <w:ilvl w:val="0"/>
          <w:numId w:val="7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Odsetek dzieci w wieku 3-4 lata objętych wychowaniem przedszkolnym – % </w:t>
      </w:r>
    </w:p>
    <w:p w:rsid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3F3439" w:rsidRPr="00C95A56" w:rsidRDefault="003F3439" w:rsidP="00C95A56">
      <w:pPr>
        <w:pStyle w:val="Akapitzlist"/>
        <w:numPr>
          <w:ilvl w:val="0"/>
          <w:numId w:val="8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miejsc w objętej wsparciem infrastrukturze w zakresie opieki nad dziećmi lub infrastrukturze edukacyjnej – osoby</w:t>
      </w:r>
    </w:p>
    <w:p w:rsidR="003F3439" w:rsidRPr="00C95A56" w:rsidRDefault="003F3439" w:rsidP="00C95A56">
      <w:pPr>
        <w:pStyle w:val="Akapitzlist"/>
        <w:numPr>
          <w:ilvl w:val="0"/>
          <w:numId w:val="8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miejsc w infrastrukturze kształcenia zawodowego – osoby</w:t>
      </w:r>
    </w:p>
    <w:p w:rsidR="003F3439" w:rsidRPr="00C95A56" w:rsidRDefault="003F3439" w:rsidP="00C95A56">
      <w:pPr>
        <w:pStyle w:val="Akapitzlist"/>
        <w:numPr>
          <w:ilvl w:val="0"/>
          <w:numId w:val="8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miejsc w infrastrukturze przedszkolnej – osoby</w:t>
      </w:r>
    </w:p>
    <w:p w:rsidR="003F3439" w:rsidRPr="00C95A56" w:rsidRDefault="003F3439" w:rsidP="00C95A56">
      <w:pPr>
        <w:pStyle w:val="Akapitzlist"/>
        <w:numPr>
          <w:ilvl w:val="0"/>
          <w:numId w:val="8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obiektów infrastruktury jednostek organizacyjnych systemu oświat – szt.</w:t>
      </w:r>
    </w:p>
    <w:p w:rsidR="003F3439" w:rsidRPr="00C95A56" w:rsidRDefault="003F3439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Default="00C95A56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</w:p>
    <w:p w:rsidR="003F3439" w:rsidRPr="00C95A56" w:rsidRDefault="003F3439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>PI 8iv Równość mężczyzn i kobiet we wszystkich dziedzinach, w tym dostęp do zatrudnienia, rozwój kariery, godzenie życia zawodowego i prywatnego oraz promowanie równości wynagrodzeń za taką samą pracę</w:t>
      </w:r>
    </w:p>
    <w:p w:rsidR="003F3439" w:rsidRPr="00C95A56" w:rsidRDefault="003F3439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3F3439" w:rsidRPr="00C95A56" w:rsidRDefault="003F3439" w:rsidP="00C95A56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osób, które powróciły na rynek pracy po przerwie związanej urodzeniem/wychowaniem dziecka, po opuszczeniu programu –</w:t>
      </w:r>
      <w:r w:rsidR="008531FA" w:rsidRPr="00C95A56">
        <w:rPr>
          <w:rFonts w:ascii="Garamond" w:hAnsi="Garamond"/>
        </w:rPr>
        <w:t xml:space="preserve"> osoby</w:t>
      </w:r>
    </w:p>
    <w:p w:rsidR="003F3439" w:rsidRPr="00C95A56" w:rsidRDefault="008531FA" w:rsidP="00C95A56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osób pozostających bez pracy, które znalazły pracę lub poszukują pracy po opuszczeniu programu – osoby</w:t>
      </w:r>
    </w:p>
    <w:p w:rsidR="008531FA" w:rsidRPr="00C95A56" w:rsidRDefault="008531FA" w:rsidP="00C95A56">
      <w:pPr>
        <w:pStyle w:val="Akapitzlist"/>
        <w:numPr>
          <w:ilvl w:val="0"/>
          <w:numId w:val="9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Liczba utworzonych miejsc opieki nad dziećmi w wieku do lat 3, które funkcjonują 2 lata po uzyskaniu dofinansowania ze środków EFS – % </w:t>
      </w:r>
    </w:p>
    <w:p w:rsid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</w:p>
    <w:p w:rsidR="00E2483E" w:rsidRDefault="00E2483E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lastRenderedPageBreak/>
        <w:t>Wskaźniki Produktu:</w:t>
      </w:r>
    </w:p>
    <w:p w:rsidR="008531FA" w:rsidRPr="00C95A56" w:rsidRDefault="008531FA" w:rsidP="00C95A56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osób opiekujących się dziećmi w wieku do lat 3 objętych wsparciem w programie – osoby</w:t>
      </w:r>
    </w:p>
    <w:p w:rsidR="005C2C05" w:rsidRPr="00C95A56" w:rsidRDefault="008531FA" w:rsidP="00C95A56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utworzonych miejsc opieki nad dziećmi w wieku do lat 3 – szt.</w:t>
      </w:r>
    </w:p>
    <w:p w:rsidR="008531FA" w:rsidRPr="00C95A56" w:rsidRDefault="008531FA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Default="00C95A56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</w:p>
    <w:p w:rsidR="008531FA" w:rsidRPr="00C95A56" w:rsidRDefault="008531FA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>PI 9i Aktywne włączenie, w tym z myślą o promowaniu równych szans oraz aktywnego uczestnictwa i zwiększaniu szans na zatrudnienie</w:t>
      </w:r>
    </w:p>
    <w:p w:rsidR="008531FA" w:rsidRPr="00C95A56" w:rsidRDefault="008531FA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8531FA" w:rsidRPr="00C95A56" w:rsidRDefault="008531FA" w:rsidP="00C95A56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osób zagrożonych ubóstwem lub wykluczeniem społecznym, które uzyskały kwalifikacje po opuszczeniu programu</w:t>
      </w:r>
      <w:r w:rsidR="00FC50E1" w:rsidRPr="00C95A56">
        <w:rPr>
          <w:rFonts w:ascii="Garamond" w:hAnsi="Garamond"/>
        </w:rPr>
        <w:t xml:space="preserve"> – osoby </w:t>
      </w:r>
    </w:p>
    <w:p w:rsidR="00B61500" w:rsidRPr="00C95A56" w:rsidRDefault="00B61500" w:rsidP="00C95A56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osób zagrożonych ubóstwem lub wykluczeniem społecznym poszukujących pracy po opuszczeniu programu – osoby</w:t>
      </w:r>
    </w:p>
    <w:p w:rsidR="00B61500" w:rsidRPr="00C95A56" w:rsidRDefault="00B61500" w:rsidP="00C95A56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osób zagrożonych ubóstwem lub wykluczeniem społecznym pracujących po opuszczeniu programu (łącznie z pracującymi na własny rachunek) – osoby</w:t>
      </w:r>
    </w:p>
    <w:p w:rsidR="00B61500" w:rsidRPr="00C95A56" w:rsidRDefault="00B61500" w:rsidP="00C95A56">
      <w:pPr>
        <w:pStyle w:val="Akapitzlist"/>
        <w:numPr>
          <w:ilvl w:val="0"/>
          <w:numId w:val="11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osób zagrożonych ubóstwem lub wykluczeniem społecznym pracujących 6 miesięcy po opuszczeniu programu (łącznie z pracującymi na własny rachunek) – osoby</w:t>
      </w:r>
    </w:p>
    <w:p w:rsidR="00B61500" w:rsidRPr="00C95A56" w:rsidRDefault="00B61500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B61500" w:rsidRPr="00C95A56" w:rsidRDefault="00B61500" w:rsidP="00C95A56">
      <w:pPr>
        <w:pStyle w:val="Akapitzlist"/>
        <w:numPr>
          <w:ilvl w:val="0"/>
          <w:numId w:val="12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Liczba osób zagrożonych ubóstwem lub wykluczeniem społecznym objętych wsparciem w programie – osoby</w:t>
      </w:r>
    </w:p>
    <w:p w:rsidR="00B61500" w:rsidRPr="00C95A56" w:rsidRDefault="00B61500" w:rsidP="00C95A56">
      <w:pPr>
        <w:pStyle w:val="Akapitzlist"/>
        <w:numPr>
          <w:ilvl w:val="0"/>
          <w:numId w:val="12"/>
        </w:num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 xml:space="preserve">Liczba osób z </w:t>
      </w:r>
      <w:proofErr w:type="spellStart"/>
      <w:r w:rsidRPr="00C95A56">
        <w:rPr>
          <w:rFonts w:ascii="Garamond" w:hAnsi="Garamond"/>
        </w:rPr>
        <w:t>niepełnosprawnościami</w:t>
      </w:r>
      <w:proofErr w:type="spellEnd"/>
      <w:r w:rsidRPr="00C95A56">
        <w:rPr>
          <w:rFonts w:ascii="Garamond" w:hAnsi="Garamond"/>
        </w:rPr>
        <w:t xml:space="preserve"> objętych wsparciem w programie – osoby</w:t>
      </w:r>
    </w:p>
    <w:p w:rsidR="00B61500" w:rsidRPr="00C95A56" w:rsidRDefault="00B61500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Default="00C95A56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</w:p>
    <w:p w:rsidR="00B61500" w:rsidRPr="00C95A56" w:rsidRDefault="00B61500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>PI 9iv Ułatwianie dostępu do przystępnych cenowo, trwałych oraz wysokiej jakości usług, w tym opieki zdrowotnej i usług socjalnych świadczonych w interesie ogólnym</w:t>
      </w:r>
    </w:p>
    <w:p w:rsidR="00B61500" w:rsidRPr="00C95A56" w:rsidRDefault="00B61500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E028BB" w:rsidRPr="00E2483E" w:rsidRDefault="00E028BB" w:rsidP="00E2483E">
      <w:pPr>
        <w:pStyle w:val="Akapitzlist"/>
        <w:numPr>
          <w:ilvl w:val="0"/>
          <w:numId w:val="13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wspartych w programie miejsc świadczenia usług zdrowotnych istniejących po zakończeniu projektu – szt.</w:t>
      </w:r>
    </w:p>
    <w:p w:rsidR="00E028BB" w:rsidRPr="00E2483E" w:rsidRDefault="00E028BB" w:rsidP="00E2483E">
      <w:pPr>
        <w:pStyle w:val="Akapitzlist"/>
        <w:numPr>
          <w:ilvl w:val="0"/>
          <w:numId w:val="13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wspartych w programie miejsc świadczenia usług społecznych istniejących po zakończeniu projektu – szt.</w:t>
      </w:r>
    </w:p>
    <w:p w:rsidR="00E2483E" w:rsidRDefault="00E2483E" w:rsidP="00C95A56">
      <w:pPr>
        <w:spacing w:after="0" w:line="23" w:lineRule="atLeast"/>
        <w:jc w:val="both"/>
        <w:rPr>
          <w:rFonts w:ascii="Garamond" w:hAnsi="Garamond"/>
        </w:rPr>
      </w:pPr>
    </w:p>
    <w:p w:rsidR="00C95A56" w:rsidRPr="00C95A56" w:rsidRDefault="00C95A56" w:rsidP="00C95A56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E028BB" w:rsidRPr="00E2483E" w:rsidRDefault="00E028BB" w:rsidP="00E2483E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osób zagrożonych ubóstwem lub wykluczeniem społecznym objętych usługami zdrowotnymi świadczonymi w interesie ogólnym w programie – osoby</w:t>
      </w:r>
    </w:p>
    <w:p w:rsidR="00E028BB" w:rsidRPr="00E2483E" w:rsidRDefault="00E028BB" w:rsidP="00E2483E">
      <w:pPr>
        <w:pStyle w:val="Akapitzlist"/>
        <w:numPr>
          <w:ilvl w:val="0"/>
          <w:numId w:val="14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osób zagrożonych ubóstwem lub wykluczeniem społecznym objętych usługami społecznymi świadczonymi w interesie ogólnym w programie – osoby</w:t>
      </w:r>
    </w:p>
    <w:p w:rsidR="00E028BB" w:rsidRPr="00C95A56" w:rsidRDefault="00E028BB" w:rsidP="00C95A56">
      <w:pPr>
        <w:spacing w:after="0" w:line="23" w:lineRule="atLeast"/>
        <w:jc w:val="both"/>
        <w:rPr>
          <w:rFonts w:ascii="Garamond" w:hAnsi="Garamond"/>
        </w:rPr>
      </w:pPr>
    </w:p>
    <w:p w:rsidR="00E028BB" w:rsidRPr="00C95A56" w:rsidRDefault="00E028BB" w:rsidP="00C95A56">
      <w:pPr>
        <w:spacing w:after="0" w:line="23" w:lineRule="atLeast"/>
        <w:jc w:val="both"/>
        <w:rPr>
          <w:rFonts w:ascii="Garamond" w:hAnsi="Garamond"/>
        </w:rPr>
      </w:pPr>
    </w:p>
    <w:p w:rsidR="00E028BB" w:rsidRPr="00C95A56" w:rsidRDefault="00E028BB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 xml:space="preserve">PI 10i Ograniczenie i zapobieganie przedwczesnemu kończeniu nauki szkolnej oraz zapewnianie równego dostępu do dobrej jakości wczesnej edukacji elementarnej oraz kształcenia podstawowego, gimnazjalnego i </w:t>
      </w:r>
      <w:proofErr w:type="spellStart"/>
      <w:r w:rsidRPr="00C95A56">
        <w:rPr>
          <w:rFonts w:ascii="Garamond" w:hAnsi="Garamond" w:cstheme="minorHAnsi"/>
          <w:b/>
        </w:rPr>
        <w:t>ponadgimnazjalnego</w:t>
      </w:r>
      <w:proofErr w:type="spellEnd"/>
      <w:r w:rsidRPr="00C95A56">
        <w:rPr>
          <w:rFonts w:ascii="Garamond" w:hAnsi="Garamond" w:cstheme="minorHAnsi"/>
          <w:b/>
        </w:rPr>
        <w:t xml:space="preserve">, z uwzględnieniem formalnych, nieformalnych i </w:t>
      </w:r>
      <w:proofErr w:type="spellStart"/>
      <w:r w:rsidRPr="00C95A56">
        <w:rPr>
          <w:rFonts w:ascii="Garamond" w:hAnsi="Garamond" w:cstheme="minorHAnsi"/>
          <w:b/>
        </w:rPr>
        <w:t>pozaformalnych</w:t>
      </w:r>
      <w:proofErr w:type="spellEnd"/>
      <w:r w:rsidRPr="00C95A56">
        <w:rPr>
          <w:rFonts w:ascii="Garamond" w:hAnsi="Garamond" w:cstheme="minorHAnsi"/>
          <w:b/>
        </w:rPr>
        <w:t xml:space="preserve"> ścieżek kształcenia umożliwiających ponowne podjęcie kształcenia i szkolenia</w:t>
      </w:r>
    </w:p>
    <w:p w:rsidR="00E028BB" w:rsidRPr="00C95A56" w:rsidRDefault="00E028BB" w:rsidP="00C95A56">
      <w:pPr>
        <w:spacing w:after="0" w:line="23" w:lineRule="atLeast"/>
        <w:jc w:val="both"/>
        <w:rPr>
          <w:rFonts w:ascii="Garamond" w:hAnsi="Garamond"/>
        </w:rPr>
      </w:pPr>
    </w:p>
    <w:p w:rsidR="00E2483E" w:rsidRPr="00C95A56" w:rsidRDefault="00E2483E" w:rsidP="00E2483E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C557D0" w:rsidRPr="00E2483E" w:rsidRDefault="00C557D0" w:rsidP="00E2483E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 xml:space="preserve">Liczba miejsc wychowania przedszkolnego, które funkcjonują 2 lata po uzyskania dofinansowania ze środków EFS – % </w:t>
      </w:r>
    </w:p>
    <w:p w:rsidR="00E028BB" w:rsidRPr="00E2483E" w:rsidRDefault="00C557D0" w:rsidP="00E2483E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nauczycieli, którzy uzyskali kwalifikacje lub nabyli kompetencje po opuszczeniu programu – osoby</w:t>
      </w:r>
    </w:p>
    <w:p w:rsidR="00C557D0" w:rsidRPr="00E2483E" w:rsidRDefault="00C557D0" w:rsidP="00E2483E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uczniów, którzy nabyli kompetencje kluczowe po opuszczeniu programu – osoby</w:t>
      </w:r>
    </w:p>
    <w:p w:rsidR="00C557D0" w:rsidRPr="00E2483E" w:rsidRDefault="00C557D0" w:rsidP="00E2483E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nauczycieli, którzy uzyskali kwalifikacje lub nabyli kompetencje po opuszczeniu programu – osoby</w:t>
      </w:r>
    </w:p>
    <w:p w:rsidR="00C557D0" w:rsidRPr="00E2483E" w:rsidRDefault="00C557D0" w:rsidP="00E2483E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lastRenderedPageBreak/>
        <w:t>Liczba szkół i placówek systemu oświaty wykorzystujących sprzęt TIK do prowadzenia zajęć edukacyjnych – szt.</w:t>
      </w:r>
    </w:p>
    <w:p w:rsidR="00C557D0" w:rsidRPr="00E2483E" w:rsidRDefault="00C557D0" w:rsidP="00E2483E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szkół, w których pracownie przedmiotowe wykorzystują doposażenie do prowadzenia zajęć edukacyjnych – szt.</w:t>
      </w:r>
    </w:p>
    <w:p w:rsidR="00C557D0" w:rsidRPr="00E2483E" w:rsidRDefault="00C557D0" w:rsidP="00E2483E">
      <w:pPr>
        <w:pStyle w:val="Akapitzlist"/>
        <w:numPr>
          <w:ilvl w:val="0"/>
          <w:numId w:val="15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nauczycieli prowadzących zajęcia z wykorzystaniem TIK dzięki EFS – %</w:t>
      </w:r>
    </w:p>
    <w:p w:rsidR="00C557D0" w:rsidRPr="00C95A56" w:rsidRDefault="00C557D0" w:rsidP="00C95A56">
      <w:pPr>
        <w:spacing w:after="0" w:line="23" w:lineRule="atLeast"/>
        <w:jc w:val="both"/>
        <w:rPr>
          <w:rFonts w:ascii="Garamond" w:hAnsi="Garamond"/>
        </w:rPr>
      </w:pPr>
    </w:p>
    <w:p w:rsidR="00E2483E" w:rsidRPr="00C95A56" w:rsidRDefault="00E2483E" w:rsidP="00E2483E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111084" w:rsidRPr="00E2483E" w:rsidRDefault="00111084" w:rsidP="00E2483E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dzieci objętych w ramach programu dodatkowymi zajęciami zwiększającymi ich szanse edukacyjne w edukacji przedszkolnej – osoby</w:t>
      </w:r>
    </w:p>
    <w:p w:rsidR="00111084" w:rsidRPr="00E2483E" w:rsidRDefault="00111084" w:rsidP="00E2483E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miejsc wychowania przedszkolnego dofinansowanych w programie – szt.</w:t>
      </w:r>
    </w:p>
    <w:p w:rsidR="00111084" w:rsidRPr="00E2483E" w:rsidRDefault="00111084" w:rsidP="00E2483E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nauczycieli objętych wsparciem w zakresie TIK w ramach programu – osoby</w:t>
      </w:r>
    </w:p>
    <w:p w:rsidR="00111084" w:rsidRPr="00E2483E" w:rsidRDefault="00111084" w:rsidP="00E2483E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nauczycieli objętych wsparciem w programie – osoby</w:t>
      </w:r>
    </w:p>
    <w:p w:rsidR="00111084" w:rsidRPr="00E2483E" w:rsidRDefault="00111084" w:rsidP="00E2483E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uczniów objętych wsparciem w zakresie rozwijania kompetencji kluczowych w programie – osoby</w:t>
      </w:r>
    </w:p>
    <w:p w:rsidR="00111084" w:rsidRPr="00E2483E" w:rsidRDefault="00111084" w:rsidP="00E2483E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szkół i placówek systemu oświaty wyposażonych w ramach programu w sprzęt TIK do prowadzenia zajęć</w:t>
      </w:r>
    </w:p>
    <w:p w:rsidR="00111084" w:rsidRPr="00E2483E" w:rsidRDefault="00111084" w:rsidP="00E2483E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Edukacyjnych – szt.</w:t>
      </w:r>
    </w:p>
    <w:p w:rsidR="00111084" w:rsidRPr="00E2483E" w:rsidRDefault="00111084" w:rsidP="00E2483E">
      <w:pPr>
        <w:pStyle w:val="Akapitzlist"/>
        <w:numPr>
          <w:ilvl w:val="0"/>
          <w:numId w:val="16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szkół, których pracownie przedmiotowe zostały doposażone w programie – szt.</w:t>
      </w:r>
    </w:p>
    <w:p w:rsidR="00111084" w:rsidRPr="00C95A56" w:rsidRDefault="00111084" w:rsidP="00C95A56">
      <w:pPr>
        <w:spacing w:after="0" w:line="23" w:lineRule="atLeast"/>
        <w:jc w:val="both"/>
        <w:rPr>
          <w:rFonts w:ascii="Garamond" w:hAnsi="Garamond"/>
        </w:rPr>
      </w:pPr>
    </w:p>
    <w:p w:rsidR="00E2483E" w:rsidRDefault="00E2483E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</w:p>
    <w:p w:rsidR="00111084" w:rsidRPr="00C95A56" w:rsidRDefault="00111084" w:rsidP="00C95A56">
      <w:pPr>
        <w:spacing w:after="0" w:line="23" w:lineRule="atLeast"/>
        <w:jc w:val="both"/>
        <w:rPr>
          <w:rFonts w:ascii="Garamond" w:hAnsi="Garamond" w:cstheme="minorHAnsi"/>
          <w:b/>
        </w:rPr>
      </w:pPr>
      <w:r w:rsidRPr="00C95A56">
        <w:rPr>
          <w:rFonts w:ascii="Garamond" w:hAnsi="Garamond" w:cstheme="minorHAnsi"/>
          <w:b/>
        </w:rPr>
        <w:t>PI 10iv Lepsze dostosowanie systemów kształcenia i szkolenia do potrzeb rynku pracy, ułatwianie przechodzenia z etapu kształcenia do etapu zatrudnienia oraz wzmacnianie systemów kształcenia i szkolenia zawodowego i ich jakości, w tym poprzez mechanizmy prognozowania umiejętności, dostosowania programów nauczania oraz tworzenia i rozwoju systemów uczenia się poprzez praktyczną naukę zawodu realizowaną w ścisłej współpracy z pracodawcami</w:t>
      </w:r>
    </w:p>
    <w:p w:rsidR="00111084" w:rsidRPr="00C95A56" w:rsidRDefault="00111084" w:rsidP="00C95A56">
      <w:pPr>
        <w:spacing w:after="0" w:line="23" w:lineRule="atLeast"/>
        <w:jc w:val="both"/>
        <w:rPr>
          <w:rFonts w:ascii="Garamond" w:hAnsi="Garamond"/>
        </w:rPr>
      </w:pPr>
    </w:p>
    <w:p w:rsidR="00E2483E" w:rsidRPr="00C95A56" w:rsidRDefault="00E2483E" w:rsidP="00E2483E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Rezultatu:</w:t>
      </w:r>
    </w:p>
    <w:p w:rsidR="00111084" w:rsidRPr="00E2483E" w:rsidRDefault="00111084" w:rsidP="00E2483E">
      <w:pPr>
        <w:pStyle w:val="Akapitzlist"/>
        <w:numPr>
          <w:ilvl w:val="0"/>
          <w:numId w:val="17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uczniów szkół i placówek kształcenia zawodowego objętych wsparciem w programie, uczestniczących w kształceniu lub pracujących po 6 miesiącach po ukończeniu nauki – osoby</w:t>
      </w:r>
    </w:p>
    <w:p w:rsidR="00111084" w:rsidRPr="00E2483E" w:rsidRDefault="00111084" w:rsidP="00E2483E">
      <w:pPr>
        <w:pStyle w:val="Akapitzlist"/>
        <w:numPr>
          <w:ilvl w:val="0"/>
          <w:numId w:val="17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nauczycieli kształcenia zawodowego oraz instruktorów praktycznej nauki zawodu, którzy uzyskali kwalifikacje lub nabyli kompetencje po opuszczeniu programu – osoby</w:t>
      </w:r>
    </w:p>
    <w:p w:rsidR="00111084" w:rsidRPr="00E2483E" w:rsidRDefault="00111084" w:rsidP="00E2483E">
      <w:pPr>
        <w:pStyle w:val="Akapitzlist"/>
        <w:numPr>
          <w:ilvl w:val="0"/>
          <w:numId w:val="17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szkół i placówek kształcenia zawodowego wykorzystujących doposażenie zakupione dzięki EFS – szt.</w:t>
      </w:r>
    </w:p>
    <w:p w:rsidR="00111084" w:rsidRPr="00E2483E" w:rsidRDefault="00111084" w:rsidP="00E2483E">
      <w:pPr>
        <w:pStyle w:val="Akapitzlist"/>
        <w:numPr>
          <w:ilvl w:val="0"/>
          <w:numId w:val="17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osób, które uzyskały kwalifikacje w ramach pozaszkolnych form kształcenia – osoby</w:t>
      </w:r>
    </w:p>
    <w:p w:rsidR="00111084" w:rsidRPr="00C95A56" w:rsidRDefault="00111084" w:rsidP="00C95A56">
      <w:pPr>
        <w:spacing w:after="0" w:line="23" w:lineRule="atLeast"/>
        <w:jc w:val="both"/>
        <w:rPr>
          <w:rFonts w:ascii="Garamond" w:hAnsi="Garamond"/>
        </w:rPr>
      </w:pPr>
    </w:p>
    <w:p w:rsidR="00E2483E" w:rsidRPr="00C95A56" w:rsidRDefault="00E2483E" w:rsidP="00E2483E">
      <w:pPr>
        <w:spacing w:after="0" w:line="23" w:lineRule="atLeast"/>
        <w:jc w:val="both"/>
        <w:rPr>
          <w:rFonts w:ascii="Garamond" w:hAnsi="Garamond"/>
        </w:rPr>
      </w:pPr>
      <w:r w:rsidRPr="00C95A56">
        <w:rPr>
          <w:rFonts w:ascii="Garamond" w:hAnsi="Garamond"/>
        </w:rPr>
        <w:t>Wskaźniki Produktu:</w:t>
      </w:r>
    </w:p>
    <w:p w:rsidR="00111084" w:rsidRPr="00E2483E" w:rsidRDefault="00111084" w:rsidP="00E2483E">
      <w:pPr>
        <w:pStyle w:val="Akapitzlist"/>
        <w:numPr>
          <w:ilvl w:val="0"/>
          <w:numId w:val="18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uczniów szkół i placówek kształcenia zawodowego uczestniczących w stażach i praktykach u pracodawcy – osoby</w:t>
      </w:r>
    </w:p>
    <w:p w:rsidR="00111084" w:rsidRPr="00E2483E" w:rsidRDefault="00111084" w:rsidP="00E2483E">
      <w:pPr>
        <w:pStyle w:val="Akapitzlist"/>
        <w:numPr>
          <w:ilvl w:val="0"/>
          <w:numId w:val="18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nauczycieli kształcenia zawodowego oraz instruktorów praktycznej nauki zawodu objętych wsparciem w programie – osoby</w:t>
      </w:r>
    </w:p>
    <w:p w:rsidR="00111084" w:rsidRPr="00E2483E" w:rsidRDefault="00BC1DC8" w:rsidP="00E2483E">
      <w:pPr>
        <w:pStyle w:val="Akapitzlist"/>
        <w:numPr>
          <w:ilvl w:val="0"/>
          <w:numId w:val="18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szkół i placówek kształcenia zawodowego doposażonych w sprzęt i materiały dydaktyczne niezbędne do realizacji kształcenia zawodowego – szt.</w:t>
      </w:r>
    </w:p>
    <w:p w:rsidR="00BC1DC8" w:rsidRPr="00E2483E" w:rsidRDefault="00BC1DC8" w:rsidP="00E2483E">
      <w:pPr>
        <w:pStyle w:val="Akapitzlist"/>
        <w:numPr>
          <w:ilvl w:val="0"/>
          <w:numId w:val="18"/>
        </w:numPr>
        <w:spacing w:after="0" w:line="23" w:lineRule="atLeast"/>
        <w:jc w:val="both"/>
        <w:rPr>
          <w:rFonts w:ascii="Garamond" w:hAnsi="Garamond"/>
        </w:rPr>
      </w:pPr>
      <w:r w:rsidRPr="00E2483E">
        <w:rPr>
          <w:rFonts w:ascii="Garamond" w:hAnsi="Garamond"/>
        </w:rPr>
        <w:t>Liczba osób uczestniczących w pozaszkolnych formach kształcenia w programie – osoby</w:t>
      </w:r>
    </w:p>
    <w:p w:rsidR="00BC1DC8" w:rsidRPr="00C95A56" w:rsidRDefault="00BC1DC8" w:rsidP="00C95A56">
      <w:pPr>
        <w:spacing w:after="0" w:line="23" w:lineRule="atLeast"/>
        <w:jc w:val="both"/>
        <w:rPr>
          <w:rFonts w:ascii="Garamond" w:hAnsi="Garamond"/>
        </w:rPr>
      </w:pPr>
    </w:p>
    <w:p w:rsidR="00111084" w:rsidRPr="00C95A56" w:rsidRDefault="00111084" w:rsidP="00C95A56">
      <w:pPr>
        <w:spacing w:after="0" w:line="23" w:lineRule="atLeast"/>
        <w:jc w:val="both"/>
        <w:rPr>
          <w:rFonts w:ascii="Garamond" w:hAnsi="Garamond"/>
        </w:rPr>
      </w:pPr>
    </w:p>
    <w:sectPr w:rsidR="00111084" w:rsidRPr="00C95A56" w:rsidSect="003839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6E1" w:rsidRDefault="00BB46E1" w:rsidP="00E2483E">
      <w:pPr>
        <w:spacing w:after="0" w:line="240" w:lineRule="auto"/>
      </w:pPr>
      <w:r>
        <w:separator/>
      </w:r>
    </w:p>
  </w:endnote>
  <w:endnote w:type="continuationSeparator" w:id="0">
    <w:p w:rsidR="00BB46E1" w:rsidRDefault="00BB46E1" w:rsidP="00E2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3717"/>
      <w:docPartObj>
        <w:docPartGallery w:val="Page Numbers (Bottom of Page)"/>
        <w:docPartUnique/>
      </w:docPartObj>
    </w:sdtPr>
    <w:sdtContent>
      <w:p w:rsidR="00E2483E" w:rsidRDefault="00E2483E">
        <w:pPr>
          <w:pStyle w:val="Stopka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2483E" w:rsidRDefault="00E248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6E1" w:rsidRDefault="00BB46E1" w:rsidP="00E2483E">
      <w:pPr>
        <w:spacing w:after="0" w:line="240" w:lineRule="auto"/>
      </w:pPr>
      <w:r>
        <w:separator/>
      </w:r>
    </w:p>
  </w:footnote>
  <w:footnote w:type="continuationSeparator" w:id="0">
    <w:p w:rsidR="00BB46E1" w:rsidRDefault="00BB46E1" w:rsidP="00E2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4AD8"/>
    <w:multiLevelType w:val="hybridMultilevel"/>
    <w:tmpl w:val="2A36C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B0A25"/>
    <w:multiLevelType w:val="hybridMultilevel"/>
    <w:tmpl w:val="9EE67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4677"/>
    <w:multiLevelType w:val="hybridMultilevel"/>
    <w:tmpl w:val="1F44E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F1CBC"/>
    <w:multiLevelType w:val="hybridMultilevel"/>
    <w:tmpl w:val="6F488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27756"/>
    <w:multiLevelType w:val="hybridMultilevel"/>
    <w:tmpl w:val="EB943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E7F5E"/>
    <w:multiLevelType w:val="hybridMultilevel"/>
    <w:tmpl w:val="5CA00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71A32"/>
    <w:multiLevelType w:val="hybridMultilevel"/>
    <w:tmpl w:val="B60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A13AF"/>
    <w:multiLevelType w:val="hybridMultilevel"/>
    <w:tmpl w:val="A454C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2E27F2"/>
    <w:multiLevelType w:val="hybridMultilevel"/>
    <w:tmpl w:val="6B342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80149"/>
    <w:multiLevelType w:val="hybridMultilevel"/>
    <w:tmpl w:val="A382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B529B"/>
    <w:multiLevelType w:val="hybridMultilevel"/>
    <w:tmpl w:val="84BCC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C3379"/>
    <w:multiLevelType w:val="hybridMultilevel"/>
    <w:tmpl w:val="C902F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57A4F"/>
    <w:multiLevelType w:val="hybridMultilevel"/>
    <w:tmpl w:val="F02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B5C3D"/>
    <w:multiLevelType w:val="hybridMultilevel"/>
    <w:tmpl w:val="CAF4A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FF0088"/>
    <w:multiLevelType w:val="hybridMultilevel"/>
    <w:tmpl w:val="A3B49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303E8"/>
    <w:multiLevelType w:val="hybridMultilevel"/>
    <w:tmpl w:val="34169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E6A60"/>
    <w:multiLevelType w:val="hybridMultilevel"/>
    <w:tmpl w:val="7E480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D16FD"/>
    <w:multiLevelType w:val="hybridMultilevel"/>
    <w:tmpl w:val="1F9E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  <w:num w:numId="14">
    <w:abstractNumId w:val="0"/>
  </w:num>
  <w:num w:numId="15">
    <w:abstractNumId w:val="17"/>
  </w:num>
  <w:num w:numId="16">
    <w:abstractNumId w:val="15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C05"/>
    <w:rsid w:val="00111084"/>
    <w:rsid w:val="00114472"/>
    <w:rsid w:val="00290D8D"/>
    <w:rsid w:val="00361750"/>
    <w:rsid w:val="00383919"/>
    <w:rsid w:val="003A3419"/>
    <w:rsid w:val="003F3439"/>
    <w:rsid w:val="005C2C05"/>
    <w:rsid w:val="00760560"/>
    <w:rsid w:val="00782E96"/>
    <w:rsid w:val="008336F8"/>
    <w:rsid w:val="008531FA"/>
    <w:rsid w:val="009C74F6"/>
    <w:rsid w:val="00A41A38"/>
    <w:rsid w:val="00B61500"/>
    <w:rsid w:val="00BB46E1"/>
    <w:rsid w:val="00BC1DC8"/>
    <w:rsid w:val="00C557D0"/>
    <w:rsid w:val="00C80F4E"/>
    <w:rsid w:val="00C95A56"/>
    <w:rsid w:val="00D573C1"/>
    <w:rsid w:val="00E028BB"/>
    <w:rsid w:val="00E2483E"/>
    <w:rsid w:val="00FC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C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A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2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483E"/>
  </w:style>
  <w:style w:type="paragraph" w:styleId="Stopka">
    <w:name w:val="footer"/>
    <w:basedOn w:val="Normalny"/>
    <w:link w:val="StopkaZnak"/>
    <w:uiPriority w:val="99"/>
    <w:unhideWhenUsed/>
    <w:rsid w:val="00E2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1369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korpal.jaroslaw</dc:creator>
  <cp:keywords/>
  <dc:description/>
  <cp:lastModifiedBy>korpal.jaroslaw</cp:lastModifiedBy>
  <cp:revision>8</cp:revision>
  <dcterms:created xsi:type="dcterms:W3CDTF">2015-01-23T07:25:00Z</dcterms:created>
  <dcterms:modified xsi:type="dcterms:W3CDTF">2015-03-23T14:09:00Z</dcterms:modified>
</cp:coreProperties>
</file>