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jc w:val="both"/>
        <w:rPr>
          <w:rFonts w:ascii="Garamond" w:hAnsi="Garamond"/>
        </w:rPr>
      </w:pPr>
    </w:p>
    <w:p w:rsidR="00567C3E" w:rsidRDefault="00567C3E" w:rsidP="00567C3E">
      <w:pPr>
        <w:pStyle w:val="Nagwek1"/>
        <w:jc w:val="center"/>
        <w:rPr>
          <w:color w:val="4F2D7F"/>
          <w:sz w:val="44"/>
        </w:rPr>
      </w:pPr>
      <w:r w:rsidRPr="001534A8">
        <w:rPr>
          <w:color w:val="4F2D7F"/>
          <w:sz w:val="44"/>
        </w:rPr>
        <w:t>Strategia Obszaru</w:t>
      </w:r>
      <w:r>
        <w:rPr>
          <w:color w:val="4F2D7F"/>
          <w:sz w:val="44"/>
        </w:rPr>
        <w:t xml:space="preserve"> </w:t>
      </w:r>
      <w:r w:rsidRPr="001534A8">
        <w:rPr>
          <w:color w:val="4F2D7F"/>
          <w:sz w:val="44"/>
        </w:rPr>
        <w:t xml:space="preserve">Rozwoju </w:t>
      </w:r>
      <w:proofErr w:type="spellStart"/>
      <w:r w:rsidRPr="001534A8">
        <w:rPr>
          <w:color w:val="4F2D7F"/>
          <w:sz w:val="44"/>
        </w:rPr>
        <w:t>Społeczno</w:t>
      </w:r>
      <w:proofErr w:type="spellEnd"/>
      <w:r w:rsidRPr="001534A8">
        <w:rPr>
          <w:color w:val="4F2D7F"/>
          <w:sz w:val="44"/>
        </w:rPr>
        <w:t xml:space="preserve"> – Gospodarczego Powiatu Brodnickiego</w:t>
      </w:r>
      <w:r>
        <w:rPr>
          <w:color w:val="4F2D7F"/>
          <w:sz w:val="44"/>
        </w:rPr>
        <w:t xml:space="preserve"> </w:t>
      </w:r>
    </w:p>
    <w:p w:rsidR="00567C3E" w:rsidRDefault="00567C3E" w:rsidP="00567C3E">
      <w:pPr>
        <w:pStyle w:val="Nagwek1"/>
        <w:jc w:val="center"/>
        <w:rPr>
          <w:color w:val="4F2D7F"/>
          <w:sz w:val="44"/>
        </w:rPr>
      </w:pPr>
      <w:r>
        <w:rPr>
          <w:color w:val="4F2D7F"/>
          <w:sz w:val="44"/>
        </w:rPr>
        <w:t>na lata 2015-2020</w:t>
      </w:r>
    </w:p>
    <w:p w:rsidR="00567C3E" w:rsidRPr="007C28DB" w:rsidRDefault="006D6F25" w:rsidP="00567C3E">
      <w:pPr>
        <w:pStyle w:val="Nagwek1"/>
        <w:jc w:val="center"/>
        <w:rPr>
          <w:b w:val="0"/>
          <w:color w:val="auto"/>
          <w:sz w:val="24"/>
          <w:szCs w:val="24"/>
        </w:rPr>
      </w:pPr>
      <w:r>
        <w:rPr>
          <w:b w:val="0"/>
          <w:color w:val="auto"/>
          <w:sz w:val="24"/>
          <w:szCs w:val="24"/>
        </w:rPr>
        <w:t>Wersja z</w:t>
      </w:r>
      <w:r w:rsidR="00FA6BE2">
        <w:rPr>
          <w:b w:val="0"/>
          <w:color w:val="auto"/>
          <w:sz w:val="24"/>
          <w:szCs w:val="24"/>
        </w:rPr>
        <w:t xml:space="preserve"> dni</w:t>
      </w:r>
      <w:r>
        <w:rPr>
          <w:b w:val="0"/>
          <w:color w:val="auto"/>
          <w:sz w:val="24"/>
          <w:szCs w:val="24"/>
        </w:rPr>
        <w:t>a</w:t>
      </w:r>
      <w:r w:rsidR="00576902">
        <w:rPr>
          <w:b w:val="0"/>
          <w:color w:val="auto"/>
          <w:sz w:val="24"/>
          <w:szCs w:val="24"/>
        </w:rPr>
        <w:t xml:space="preserve"> 12 lipca </w:t>
      </w:r>
      <w:r w:rsidR="007077A8">
        <w:rPr>
          <w:b w:val="0"/>
          <w:color w:val="auto"/>
          <w:sz w:val="24"/>
          <w:szCs w:val="24"/>
        </w:rPr>
        <w:t xml:space="preserve"> 2018r</w:t>
      </w:r>
      <w:r w:rsidR="00567C3E">
        <w:rPr>
          <w:b w:val="0"/>
          <w:color w:val="auto"/>
          <w:sz w:val="24"/>
          <w:szCs w:val="24"/>
        </w:rPr>
        <w:t>.</w:t>
      </w:r>
    </w:p>
    <w:p w:rsidR="00567C3E" w:rsidRPr="007C28DB" w:rsidRDefault="00567C3E" w:rsidP="00567C3E">
      <w:pPr>
        <w:jc w:val="center"/>
        <w:rPr>
          <w:rFonts w:ascii="Garamond" w:hAnsi="Garamond"/>
          <w:sz w:val="24"/>
          <w:szCs w:val="24"/>
        </w:rPr>
      </w:pPr>
    </w:p>
    <w:p w:rsidR="00567C3E" w:rsidRPr="001534A8" w:rsidRDefault="00610590" w:rsidP="00567C3E">
      <w:pPr>
        <w:jc w:val="center"/>
        <w:rPr>
          <w:rFonts w:ascii="Garamond" w:hAnsi="Garamond"/>
        </w:rPr>
      </w:pPr>
      <w:r>
        <w:rPr>
          <w:rFonts w:ascii="Garamond" w:hAnsi="Garamond"/>
        </w:rPr>
        <w:t>Załącznik do uchwały nr X</w:t>
      </w:r>
      <w:r w:rsidR="00277849">
        <w:rPr>
          <w:rFonts w:ascii="Garamond" w:hAnsi="Garamond"/>
        </w:rPr>
        <w:t>X</w:t>
      </w:r>
      <w:r w:rsidR="004929DF">
        <w:rPr>
          <w:rFonts w:ascii="Garamond" w:hAnsi="Garamond"/>
        </w:rPr>
        <w:t>I</w:t>
      </w:r>
      <w:r w:rsidR="007A5CA2">
        <w:rPr>
          <w:rFonts w:ascii="Garamond" w:hAnsi="Garamond"/>
        </w:rPr>
        <w:t>I</w:t>
      </w:r>
      <w:r w:rsidR="00576902">
        <w:rPr>
          <w:rFonts w:ascii="Garamond" w:hAnsi="Garamond"/>
        </w:rPr>
        <w:t>I</w:t>
      </w:r>
      <w:r w:rsidR="00860816">
        <w:rPr>
          <w:rFonts w:ascii="Garamond" w:hAnsi="Garamond"/>
        </w:rPr>
        <w:t>/</w:t>
      </w:r>
      <w:r w:rsidR="00321284">
        <w:rPr>
          <w:rFonts w:ascii="Garamond" w:hAnsi="Garamond"/>
        </w:rPr>
        <w:t xml:space="preserve"> 34 </w:t>
      </w:r>
      <w:r w:rsidR="000F42D0">
        <w:rPr>
          <w:rFonts w:ascii="Garamond" w:hAnsi="Garamond"/>
        </w:rPr>
        <w:t xml:space="preserve"> </w:t>
      </w:r>
      <w:r w:rsidR="007077A8">
        <w:rPr>
          <w:rFonts w:ascii="Garamond" w:hAnsi="Garamond"/>
        </w:rPr>
        <w:t>/2018</w:t>
      </w:r>
      <w:r w:rsidR="00567C3E">
        <w:rPr>
          <w:rFonts w:ascii="Garamond" w:hAnsi="Garamond"/>
        </w:rPr>
        <w:t xml:space="preserve"> Komitetu Sterującego ORSG Powiatu Brodn</w:t>
      </w:r>
      <w:r w:rsidR="00576902">
        <w:rPr>
          <w:rFonts w:ascii="Garamond" w:hAnsi="Garamond"/>
        </w:rPr>
        <w:t xml:space="preserve">ickiego </w:t>
      </w:r>
      <w:r w:rsidR="00576902">
        <w:rPr>
          <w:rFonts w:ascii="Garamond" w:hAnsi="Garamond"/>
        </w:rPr>
        <w:br/>
        <w:t xml:space="preserve">z dnia  12 lipca </w:t>
      </w:r>
      <w:r w:rsidR="007077A8">
        <w:rPr>
          <w:rFonts w:ascii="Garamond" w:hAnsi="Garamond"/>
        </w:rPr>
        <w:t>2018</w:t>
      </w:r>
      <w:r w:rsidR="00567C3E">
        <w:rPr>
          <w:rFonts w:ascii="Garamond" w:hAnsi="Garamond"/>
        </w:rPr>
        <w:t>r.</w:t>
      </w:r>
    </w:p>
    <w:p w:rsidR="00567C3E" w:rsidRPr="001534A8" w:rsidRDefault="00567C3E" w:rsidP="00567C3E">
      <w:pPr>
        <w:jc w:val="center"/>
        <w:rPr>
          <w:rFonts w:ascii="Garamond" w:hAnsi="Garamond"/>
        </w:rPr>
      </w:pPr>
      <w:r w:rsidRPr="001534A8">
        <w:rPr>
          <w:rFonts w:ascii="Garamond" w:hAnsi="Garamond"/>
          <w:noProof/>
        </w:rPr>
        <w:drawing>
          <wp:inline distT="0" distB="0" distL="0" distR="0" wp14:anchorId="2E40AED3" wp14:editId="027F9ACA">
            <wp:extent cx="5921173" cy="4786685"/>
            <wp:effectExtent l="19050" t="0" r="3377" b="0"/>
            <wp:docPr id="51" name="Obraz 50" descr="Collaboration 1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1 main.jpg"/>
                    <pic:cNvPicPr/>
                  </pic:nvPicPr>
                  <pic:blipFill>
                    <a:blip r:embed="rId9" cstate="print"/>
                    <a:stretch>
                      <a:fillRect/>
                    </a:stretch>
                  </pic:blipFill>
                  <pic:spPr>
                    <a:xfrm>
                      <a:off x="0" y="0"/>
                      <a:ext cx="5926631" cy="4791097"/>
                    </a:xfrm>
                    <a:prstGeom prst="rect">
                      <a:avLst/>
                    </a:prstGeom>
                  </pic:spPr>
                </pic:pic>
              </a:graphicData>
            </a:graphic>
          </wp:inline>
        </w:drawing>
      </w:r>
    </w:p>
    <w:p w:rsidR="00567C3E" w:rsidRPr="001534A8" w:rsidRDefault="00567C3E" w:rsidP="00567C3E">
      <w:pPr>
        <w:spacing w:after="0"/>
        <w:ind w:left="2124" w:hanging="2118"/>
        <w:rPr>
          <w:rFonts w:ascii="Garamond" w:hAnsi="Garamond"/>
        </w:rPr>
      </w:pPr>
      <w:r w:rsidRPr="001534A8">
        <w:rPr>
          <w:rFonts w:ascii="Garamond" w:hAnsi="Garamond"/>
          <w:b/>
          <w:color w:val="824BB0"/>
        </w:rPr>
        <w:lastRenderedPageBreak/>
        <w:t>Dokument:</w:t>
      </w:r>
      <w:r w:rsidRPr="001534A8">
        <w:rPr>
          <w:rFonts w:ascii="Garamond" w:hAnsi="Garamond"/>
          <w:color w:val="FFFFFF" w:themeColor="background1"/>
        </w:rPr>
        <w:t xml:space="preserve"> </w:t>
      </w:r>
      <w:r w:rsidRPr="001534A8">
        <w:rPr>
          <w:rFonts w:ascii="Garamond" w:hAnsi="Garamond"/>
        </w:rPr>
        <w:tab/>
        <w:t>Strategia Obszaru</w:t>
      </w:r>
      <w:r>
        <w:rPr>
          <w:rFonts w:ascii="Garamond" w:hAnsi="Garamond"/>
        </w:rPr>
        <w:t xml:space="preserve"> </w:t>
      </w:r>
      <w:r w:rsidRPr="001534A8">
        <w:rPr>
          <w:rFonts w:ascii="Garamond" w:hAnsi="Garamond"/>
        </w:rPr>
        <w:t>Rozwoju Społeczno-Gospodarczego Powiatu Brodnickiego</w:t>
      </w:r>
      <w:r>
        <w:rPr>
          <w:rFonts w:ascii="Garamond" w:hAnsi="Garamond"/>
        </w:rPr>
        <w:t xml:space="preserve"> na lata 2015-2020</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Zamawiający:</w:t>
      </w:r>
      <w:r w:rsidRPr="001534A8">
        <w:rPr>
          <w:rFonts w:ascii="Garamond" w:hAnsi="Garamond"/>
          <w:b/>
          <w:color w:val="824BB0"/>
        </w:rPr>
        <w:tab/>
      </w:r>
      <w:r w:rsidRPr="001534A8">
        <w:rPr>
          <w:rFonts w:ascii="Garamond" w:hAnsi="Garamond"/>
          <w:b/>
        </w:rPr>
        <w:tab/>
      </w:r>
      <w:r w:rsidRPr="001534A8">
        <w:rPr>
          <w:rFonts w:ascii="Garamond" w:hAnsi="Garamond"/>
        </w:rPr>
        <w:t>Powiat Brodnicki</w:t>
      </w: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ul. Kamionka 18, 87-300 Brodnica</w:t>
      </w:r>
    </w:p>
    <w:p w:rsidR="00567C3E" w:rsidRPr="001534A8" w:rsidRDefault="00567C3E" w:rsidP="00567C3E">
      <w:pPr>
        <w:spacing w:after="0"/>
        <w:rPr>
          <w:rFonts w:ascii="Garamond" w:hAnsi="Garamond"/>
        </w:rPr>
      </w:pPr>
    </w:p>
    <w:p w:rsidR="00567C3E" w:rsidRPr="001534A8" w:rsidRDefault="00567C3E" w:rsidP="00567C3E">
      <w:pPr>
        <w:spacing w:after="0"/>
        <w:rPr>
          <w:rFonts w:ascii="Garamond" w:hAnsi="Garamond"/>
        </w:rPr>
      </w:pPr>
      <w:r w:rsidRPr="001534A8">
        <w:rPr>
          <w:rFonts w:ascii="Garamond" w:hAnsi="Garamond"/>
        </w:rPr>
        <w:tab/>
      </w:r>
      <w:r w:rsidRPr="001534A8">
        <w:rPr>
          <w:rFonts w:ascii="Garamond" w:hAnsi="Garamond"/>
        </w:rPr>
        <w:tab/>
      </w:r>
      <w:r w:rsidRPr="001534A8">
        <w:rPr>
          <w:rFonts w:ascii="Garamond" w:hAnsi="Garamond"/>
        </w:rPr>
        <w:tab/>
        <w:t>Gmina Miasta Brodnicy</w:t>
      </w:r>
    </w:p>
    <w:p w:rsidR="00567C3E" w:rsidRPr="001534A8" w:rsidRDefault="00567C3E" w:rsidP="00567C3E">
      <w:pPr>
        <w:spacing w:after="0"/>
        <w:ind w:left="1416" w:firstLine="708"/>
        <w:rPr>
          <w:rFonts w:ascii="Garamond" w:hAnsi="Garamond"/>
        </w:rPr>
      </w:pPr>
      <w:r w:rsidRPr="001534A8">
        <w:rPr>
          <w:rFonts w:ascii="Garamond" w:hAnsi="Garamond"/>
        </w:rPr>
        <w:t>ul. Kamionka 23, 87-300 Brodnica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Jabłonowo Pomorskie</w:t>
      </w:r>
    </w:p>
    <w:p w:rsidR="00567C3E" w:rsidRPr="001534A8" w:rsidRDefault="00567C3E" w:rsidP="00567C3E">
      <w:pPr>
        <w:spacing w:after="0"/>
        <w:ind w:left="1416" w:firstLine="708"/>
        <w:rPr>
          <w:rFonts w:ascii="Garamond" w:hAnsi="Garamond"/>
        </w:rPr>
      </w:pPr>
      <w:r w:rsidRPr="001534A8">
        <w:rPr>
          <w:rFonts w:ascii="Garamond" w:hAnsi="Garamond"/>
        </w:rPr>
        <w:t>ul. Główna 28, 87-330 Jabłonowo Pomorskie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Miasto i Gmina Górzno</w:t>
      </w:r>
    </w:p>
    <w:p w:rsidR="00567C3E" w:rsidRPr="001534A8" w:rsidRDefault="00567C3E" w:rsidP="00567C3E">
      <w:pPr>
        <w:spacing w:after="0"/>
        <w:ind w:left="1416" w:firstLine="708"/>
        <w:rPr>
          <w:rFonts w:ascii="Garamond" w:hAnsi="Garamond"/>
        </w:rPr>
      </w:pPr>
      <w:r w:rsidRPr="001534A8">
        <w:rPr>
          <w:rFonts w:ascii="Garamond" w:hAnsi="Garamond"/>
        </w:rPr>
        <w:t>ul. Rynek 1, 87-320 Górzno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Bartniczka</w:t>
      </w:r>
    </w:p>
    <w:p w:rsidR="00567C3E" w:rsidRPr="001534A8" w:rsidRDefault="00567C3E" w:rsidP="00567C3E">
      <w:pPr>
        <w:spacing w:after="0"/>
        <w:ind w:left="1416" w:firstLine="708"/>
        <w:rPr>
          <w:rFonts w:ascii="Garamond" w:hAnsi="Garamond"/>
        </w:rPr>
      </w:pPr>
      <w:r w:rsidRPr="001534A8">
        <w:rPr>
          <w:rFonts w:ascii="Garamond" w:hAnsi="Garamond"/>
        </w:rPr>
        <w:t>ul. Brodnicka 8, 87-321 Bartniczka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Bobrowo</w:t>
      </w:r>
    </w:p>
    <w:p w:rsidR="00567C3E" w:rsidRPr="001534A8" w:rsidRDefault="00567C3E" w:rsidP="00567C3E">
      <w:pPr>
        <w:spacing w:after="0"/>
        <w:ind w:left="1416" w:firstLine="708"/>
        <w:rPr>
          <w:rFonts w:ascii="Garamond" w:hAnsi="Garamond"/>
        </w:rPr>
      </w:pPr>
      <w:r w:rsidRPr="001534A8">
        <w:rPr>
          <w:rFonts w:ascii="Garamond" w:hAnsi="Garamond"/>
        </w:rPr>
        <w:t>Bobrowo 27, 87-327 Bobrowo</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Brodnica </w:t>
      </w:r>
    </w:p>
    <w:p w:rsidR="00567C3E" w:rsidRPr="001534A8" w:rsidRDefault="00567C3E" w:rsidP="00567C3E">
      <w:pPr>
        <w:spacing w:after="0"/>
        <w:ind w:left="1416" w:firstLine="708"/>
        <w:rPr>
          <w:rFonts w:ascii="Garamond" w:hAnsi="Garamond"/>
        </w:rPr>
      </w:pPr>
      <w:r w:rsidRPr="001534A8">
        <w:rPr>
          <w:rFonts w:ascii="Garamond" w:hAnsi="Garamond"/>
        </w:rPr>
        <w:t xml:space="preserve">ul. Zamkowa 13a, 87-300 Brodnica   </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Brzozie</w:t>
      </w:r>
    </w:p>
    <w:p w:rsidR="00567C3E" w:rsidRPr="001534A8" w:rsidRDefault="00567C3E" w:rsidP="00567C3E">
      <w:pPr>
        <w:spacing w:after="0"/>
        <w:ind w:left="1416" w:firstLine="708"/>
        <w:rPr>
          <w:rFonts w:ascii="Garamond" w:hAnsi="Garamond"/>
        </w:rPr>
      </w:pPr>
      <w:r w:rsidRPr="001534A8">
        <w:rPr>
          <w:rFonts w:ascii="Garamond" w:hAnsi="Garamond"/>
        </w:rPr>
        <w:t>Brzozie 50, 87-313 Brzozie</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Osiek </w:t>
      </w:r>
    </w:p>
    <w:p w:rsidR="00567C3E" w:rsidRPr="001534A8" w:rsidRDefault="00567C3E" w:rsidP="00567C3E">
      <w:pPr>
        <w:spacing w:after="0"/>
        <w:ind w:left="1416" w:firstLine="708"/>
        <w:rPr>
          <w:rFonts w:ascii="Garamond" w:hAnsi="Garamond"/>
        </w:rPr>
      </w:pPr>
      <w:r w:rsidRPr="001534A8">
        <w:rPr>
          <w:rFonts w:ascii="Garamond" w:hAnsi="Garamond"/>
        </w:rPr>
        <w:t>Osiek 85, 87-340 Osiek</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Gmina Świedziebnia</w:t>
      </w:r>
    </w:p>
    <w:p w:rsidR="00567C3E" w:rsidRPr="001534A8" w:rsidRDefault="00567C3E" w:rsidP="00567C3E">
      <w:pPr>
        <w:spacing w:after="0"/>
        <w:ind w:left="1416" w:firstLine="708"/>
        <w:rPr>
          <w:rFonts w:ascii="Garamond" w:hAnsi="Garamond"/>
        </w:rPr>
      </w:pPr>
      <w:r w:rsidRPr="001534A8">
        <w:rPr>
          <w:rFonts w:ascii="Garamond" w:hAnsi="Garamond"/>
        </w:rPr>
        <w:t>Świedziebnia 92a, 87-335 Świedziebnia</w:t>
      </w:r>
    </w:p>
    <w:p w:rsidR="00567C3E" w:rsidRPr="001534A8" w:rsidRDefault="00567C3E" w:rsidP="00567C3E">
      <w:pPr>
        <w:spacing w:after="0"/>
        <w:ind w:left="1416" w:firstLine="708"/>
        <w:rPr>
          <w:rFonts w:ascii="Garamond" w:hAnsi="Garamond"/>
        </w:rPr>
      </w:pPr>
    </w:p>
    <w:p w:rsidR="00567C3E" w:rsidRPr="001534A8" w:rsidRDefault="00567C3E" w:rsidP="00567C3E">
      <w:pPr>
        <w:spacing w:after="0"/>
        <w:ind w:left="1416" w:firstLine="708"/>
        <w:rPr>
          <w:rFonts w:ascii="Garamond" w:hAnsi="Garamond"/>
        </w:rPr>
      </w:pPr>
      <w:r w:rsidRPr="001534A8">
        <w:rPr>
          <w:rFonts w:ascii="Garamond" w:hAnsi="Garamond"/>
        </w:rPr>
        <w:t xml:space="preserve">Gmina Zbiczno </w:t>
      </w:r>
    </w:p>
    <w:p w:rsidR="00567C3E" w:rsidRPr="001534A8" w:rsidRDefault="00567C3E" w:rsidP="00567C3E">
      <w:pPr>
        <w:spacing w:after="0"/>
        <w:ind w:left="1416" w:firstLine="708"/>
        <w:rPr>
          <w:rFonts w:ascii="Garamond" w:hAnsi="Garamond"/>
        </w:rPr>
      </w:pPr>
      <w:r w:rsidRPr="001534A8">
        <w:rPr>
          <w:rFonts w:ascii="Garamond" w:hAnsi="Garamond"/>
        </w:rPr>
        <w:t>Zbiczno 140, 87-305 Zbiczno</w:t>
      </w:r>
    </w:p>
    <w:p w:rsidR="00567C3E" w:rsidRPr="001534A8" w:rsidRDefault="00567C3E" w:rsidP="00567C3E">
      <w:pPr>
        <w:spacing w:after="0"/>
        <w:ind w:left="708" w:firstLine="708"/>
        <w:rPr>
          <w:rFonts w:ascii="Garamond" w:hAnsi="Garamond"/>
        </w:rPr>
      </w:pPr>
    </w:p>
    <w:p w:rsidR="00567C3E" w:rsidRPr="001534A8" w:rsidRDefault="00567C3E" w:rsidP="00567C3E">
      <w:pPr>
        <w:spacing w:after="0"/>
        <w:rPr>
          <w:rFonts w:ascii="Garamond" w:hAnsi="Garamond"/>
        </w:rPr>
      </w:pPr>
      <w:r w:rsidRPr="001534A8">
        <w:rPr>
          <w:rFonts w:ascii="Garamond" w:hAnsi="Garamond"/>
          <w:b/>
          <w:color w:val="824BB0"/>
        </w:rPr>
        <w:t>Wykonawca:</w:t>
      </w:r>
      <w:r w:rsidRPr="001534A8">
        <w:rPr>
          <w:rFonts w:ascii="Garamond" w:hAnsi="Garamond"/>
        </w:rPr>
        <w:tab/>
      </w:r>
      <w:r w:rsidRPr="001534A8">
        <w:rPr>
          <w:rFonts w:ascii="Garamond" w:hAnsi="Garamond"/>
        </w:rPr>
        <w:tab/>
        <w:t>Grant Thornton Frąckowiak sp. z o.o. sp. k.</w:t>
      </w:r>
    </w:p>
    <w:p w:rsidR="00567C3E" w:rsidRPr="001534A8" w:rsidRDefault="00567C3E" w:rsidP="00567C3E">
      <w:pPr>
        <w:spacing w:after="0"/>
        <w:ind w:left="1416" w:firstLine="708"/>
        <w:rPr>
          <w:rFonts w:ascii="Garamond" w:hAnsi="Garamond"/>
        </w:rPr>
      </w:pPr>
      <w:r w:rsidRPr="001534A8">
        <w:rPr>
          <w:rFonts w:ascii="Garamond" w:hAnsi="Garamond"/>
        </w:rPr>
        <w:t>ul. Abpa Antoniego Baraniaka 88E</w:t>
      </w:r>
    </w:p>
    <w:p w:rsidR="00567C3E" w:rsidRPr="001534A8" w:rsidRDefault="00567C3E" w:rsidP="00567C3E">
      <w:pPr>
        <w:spacing w:after="0"/>
        <w:ind w:left="1416" w:firstLine="708"/>
        <w:rPr>
          <w:rFonts w:ascii="Garamond" w:hAnsi="Garamond"/>
        </w:rPr>
      </w:pPr>
      <w:r w:rsidRPr="001534A8">
        <w:rPr>
          <w:rFonts w:ascii="Garamond" w:hAnsi="Garamond"/>
        </w:rPr>
        <w:t>61-131 Poznań</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T +48 61 62 51 100</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 xml:space="preserve">F +48 61 62 51 101 </w:t>
      </w:r>
    </w:p>
    <w:p w:rsidR="00567C3E" w:rsidRPr="001534A8" w:rsidRDefault="00567C3E" w:rsidP="00567C3E">
      <w:pPr>
        <w:spacing w:after="0"/>
        <w:ind w:left="1416" w:firstLine="708"/>
        <w:rPr>
          <w:rFonts w:ascii="Garamond" w:hAnsi="Garamond"/>
          <w:lang w:val="en-US"/>
        </w:rPr>
      </w:pPr>
      <w:r w:rsidRPr="001534A8">
        <w:rPr>
          <w:rFonts w:ascii="Garamond" w:hAnsi="Garamond"/>
          <w:lang w:val="en-US"/>
        </w:rPr>
        <w:t>www.GrantThornton.pl</w:t>
      </w:r>
    </w:p>
    <w:p w:rsidR="00567C3E" w:rsidRPr="001534A8" w:rsidRDefault="00567C3E" w:rsidP="00567C3E">
      <w:pPr>
        <w:spacing w:after="0"/>
        <w:ind w:left="1416" w:firstLine="708"/>
        <w:rPr>
          <w:rFonts w:ascii="Garamond" w:hAnsi="Garamond"/>
          <w:lang w:val="en-GB"/>
        </w:rPr>
      </w:pPr>
      <w:r w:rsidRPr="001534A8">
        <w:rPr>
          <w:rFonts w:ascii="Garamond" w:hAnsi="Garamond"/>
          <w:lang w:val="en-GB"/>
        </w:rPr>
        <w:t>Member of Grant Thornton International Ltd</w:t>
      </w:r>
    </w:p>
    <w:p w:rsidR="00567C3E" w:rsidRPr="001534A8" w:rsidRDefault="00567C3E" w:rsidP="00567C3E">
      <w:pPr>
        <w:spacing w:after="0"/>
        <w:ind w:left="708" w:firstLine="708"/>
        <w:rPr>
          <w:rFonts w:ascii="Garamond" w:hAnsi="Garamond"/>
          <w:lang w:val="en-GB"/>
        </w:rPr>
      </w:pPr>
    </w:p>
    <w:p w:rsidR="00567C3E" w:rsidRPr="001534A8" w:rsidRDefault="00567C3E" w:rsidP="00567C3E">
      <w:pPr>
        <w:spacing w:after="0"/>
        <w:rPr>
          <w:rFonts w:ascii="Garamond" w:eastAsiaTheme="majorEastAsia" w:hAnsi="Garamond" w:cstheme="majorBidi"/>
          <w:b/>
          <w:bCs/>
          <w:sz w:val="28"/>
          <w:szCs w:val="28"/>
        </w:rPr>
      </w:pPr>
      <w:r w:rsidRPr="001534A8">
        <w:rPr>
          <w:rFonts w:ascii="Garamond" w:hAnsi="Garamond"/>
          <w:b/>
          <w:color w:val="824BB0"/>
        </w:rPr>
        <w:t>Data:</w:t>
      </w:r>
      <w:r w:rsidRPr="001534A8">
        <w:rPr>
          <w:rFonts w:ascii="Garamond" w:hAnsi="Garamond"/>
          <w:color w:val="824BB0"/>
        </w:rPr>
        <w:t xml:space="preserve"> </w:t>
      </w:r>
      <w:r w:rsidRPr="001534A8">
        <w:rPr>
          <w:rFonts w:ascii="Garamond" w:hAnsi="Garamond"/>
          <w:color w:val="824BB0"/>
        </w:rPr>
        <w:tab/>
      </w:r>
      <w:r w:rsidRPr="001534A8">
        <w:rPr>
          <w:rFonts w:ascii="Garamond" w:hAnsi="Garamond"/>
        </w:rPr>
        <w:tab/>
      </w:r>
      <w:r w:rsidRPr="001534A8">
        <w:rPr>
          <w:rFonts w:ascii="Garamond" w:hAnsi="Garamond"/>
        </w:rPr>
        <w:tab/>
      </w:r>
      <w:r w:rsidR="00576902">
        <w:rPr>
          <w:rFonts w:ascii="Garamond" w:hAnsi="Garamond"/>
        </w:rPr>
        <w:t xml:space="preserve">12 lipca </w:t>
      </w:r>
      <w:r w:rsidR="007077A8">
        <w:rPr>
          <w:rFonts w:ascii="Garamond" w:hAnsi="Garamond"/>
        </w:rPr>
        <w:t>2018</w:t>
      </w:r>
      <w:r w:rsidRPr="001534A8">
        <w:rPr>
          <w:rFonts w:ascii="Garamond" w:hAnsi="Garamond"/>
        </w:rPr>
        <w:t>r.</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 xml:space="preserve">Spis treści </w:t>
      </w:r>
    </w:p>
    <w:p w:rsidR="00567C3E" w:rsidRPr="001534A8" w:rsidRDefault="00567C3E" w:rsidP="00567C3E">
      <w:pPr>
        <w:pStyle w:val="Spistreci1"/>
      </w:pPr>
      <w:r w:rsidRPr="001534A8">
        <w:rPr>
          <w:b/>
          <w:color w:val="4F2D7F"/>
        </w:rPr>
        <w:fldChar w:fldCharType="begin"/>
      </w:r>
      <w:r w:rsidRPr="001534A8">
        <w:rPr>
          <w:b/>
          <w:color w:val="4F2D7F"/>
        </w:rPr>
        <w:instrText xml:space="preserve"> TOC \h \z \t "ST1;1;ST2;2;ST3;3" </w:instrText>
      </w:r>
      <w:r w:rsidRPr="001534A8">
        <w:rPr>
          <w:b/>
          <w:color w:val="4F2D7F"/>
        </w:rPr>
        <w:fldChar w:fldCharType="separate"/>
      </w:r>
      <w:hyperlink w:anchor="_Toc419705513" w:history="1">
        <w:r w:rsidRPr="001534A8">
          <w:rPr>
            <w:rStyle w:val="Hipercze"/>
          </w:rPr>
          <w:t>Wstęp</w:t>
        </w:r>
        <w:r w:rsidRPr="001534A8">
          <w:rPr>
            <w:webHidden/>
          </w:rPr>
          <w:tab/>
        </w:r>
        <w:r w:rsidRPr="001534A8">
          <w:rPr>
            <w:webHidden/>
          </w:rPr>
          <w:fldChar w:fldCharType="begin"/>
        </w:r>
        <w:r w:rsidRPr="001534A8">
          <w:rPr>
            <w:webHidden/>
          </w:rPr>
          <w:instrText xml:space="preserve"> PAGEREF _Toc419705513 \h </w:instrText>
        </w:r>
        <w:r w:rsidRPr="001534A8">
          <w:rPr>
            <w:webHidden/>
          </w:rPr>
        </w:r>
        <w:r w:rsidRPr="001534A8">
          <w:rPr>
            <w:webHidden/>
          </w:rPr>
          <w:fldChar w:fldCharType="separate"/>
        </w:r>
        <w:r w:rsidR="00C613D1">
          <w:rPr>
            <w:webHidden/>
          </w:rPr>
          <w:t>4</w:t>
        </w:r>
        <w:r w:rsidRPr="001534A8">
          <w:rPr>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14" w:history="1">
        <w:r w:rsidR="00567C3E" w:rsidRPr="001534A8">
          <w:rPr>
            <w:rStyle w:val="Hipercze"/>
            <w:rFonts w:ascii="Garamond" w:hAnsi="Garamond"/>
            <w:noProof/>
          </w:rPr>
          <w:t>1.</w:t>
        </w:r>
        <w:r w:rsidR="00567C3E" w:rsidRPr="001534A8">
          <w:rPr>
            <w:rFonts w:ascii="Garamond" w:hAnsi="Garamond"/>
            <w:noProof/>
          </w:rPr>
          <w:tab/>
        </w:r>
        <w:r w:rsidR="00567C3E" w:rsidRPr="001534A8">
          <w:rPr>
            <w:rStyle w:val="Hipercze"/>
            <w:rFonts w:ascii="Garamond" w:hAnsi="Garamond"/>
            <w:noProof/>
          </w:rPr>
          <w:t>Diagnoza sytuacji społeczno-gospodarczej ORSG Powiatu Brodnickiego</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_Toc419705514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15" w:history="1">
        <w:r w:rsidR="00567C3E" w:rsidRPr="001534A8">
          <w:rPr>
            <w:rStyle w:val="Hipercze"/>
            <w:rFonts w:ascii="Garamond" w:hAnsi="Garamond"/>
            <w:noProof/>
          </w:rPr>
          <w:t>1.1.</w:t>
        </w:r>
        <w:r w:rsidR="00567C3E" w:rsidRPr="001534A8">
          <w:rPr>
            <w:rFonts w:ascii="Garamond" w:hAnsi="Garamond"/>
            <w:noProof/>
          </w:rPr>
          <w:tab/>
        </w:r>
        <w:r w:rsidR="00567C3E" w:rsidRPr="001534A8">
          <w:rPr>
            <w:rStyle w:val="Hipercze"/>
            <w:rFonts w:ascii="Garamond" w:hAnsi="Garamond"/>
            <w:noProof/>
          </w:rPr>
          <w:t>Podział terytorialny i sytuacja demograficzna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_Toc419705515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16" w:history="1">
        <w:r w:rsidR="00567C3E" w:rsidRPr="001534A8">
          <w:rPr>
            <w:rStyle w:val="Hipercze"/>
            <w:rFonts w:ascii="Garamond" w:hAnsi="Garamond"/>
            <w:noProof/>
          </w:rPr>
          <w:t>1.2.</w:t>
        </w:r>
        <w:r w:rsidR="00567C3E" w:rsidRPr="001534A8">
          <w:rPr>
            <w:rFonts w:ascii="Garamond" w:hAnsi="Garamond"/>
            <w:noProof/>
          </w:rPr>
          <w:tab/>
        </w:r>
        <w:r w:rsidR="00567C3E" w:rsidRPr="001534A8">
          <w:rPr>
            <w:rStyle w:val="Hipercze"/>
            <w:rFonts w:ascii="Garamond" w:hAnsi="Garamond"/>
            <w:noProof/>
          </w:rPr>
          <w:t>Gospodarka i rynek pracy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_Toc419705516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20</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17" w:history="1">
        <w:r w:rsidR="00567C3E" w:rsidRPr="001534A8">
          <w:rPr>
            <w:rStyle w:val="Hipercze"/>
            <w:rFonts w:ascii="Garamond" w:hAnsi="Garamond"/>
            <w:noProof/>
          </w:rPr>
          <w:t>1.3.</w:t>
        </w:r>
        <w:r w:rsidR="00567C3E" w:rsidRPr="001534A8">
          <w:rPr>
            <w:rFonts w:ascii="Garamond" w:hAnsi="Garamond"/>
            <w:noProof/>
          </w:rPr>
          <w:tab/>
        </w:r>
        <w:r w:rsidR="00567C3E" w:rsidRPr="001534A8">
          <w:rPr>
            <w:rStyle w:val="Hipercze"/>
            <w:rFonts w:ascii="Garamond" w:hAnsi="Garamond"/>
            <w:noProof/>
          </w:rPr>
          <w:t>Pomoc społeczna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_Toc419705517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31</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18" w:history="1">
        <w:r w:rsidR="00567C3E" w:rsidRPr="001534A8">
          <w:rPr>
            <w:rStyle w:val="Hipercze"/>
            <w:rFonts w:ascii="Garamond" w:hAnsi="Garamond"/>
            <w:noProof/>
          </w:rPr>
          <w:t>1.4.</w:t>
        </w:r>
        <w:r w:rsidR="00567C3E" w:rsidRPr="001534A8">
          <w:rPr>
            <w:rFonts w:ascii="Garamond" w:hAnsi="Garamond"/>
            <w:noProof/>
          </w:rPr>
          <w:tab/>
        </w:r>
        <w:r w:rsidR="00567C3E" w:rsidRPr="001534A8">
          <w:rPr>
            <w:rStyle w:val="Hipercze"/>
            <w:rFonts w:ascii="Garamond" w:hAnsi="Garamond"/>
            <w:noProof/>
          </w:rPr>
          <w:t>Ochrona zdrowia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_Toc419705518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40</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19" w:history="1">
        <w:r w:rsidR="00567C3E" w:rsidRPr="001534A8">
          <w:rPr>
            <w:rStyle w:val="Hipercze"/>
            <w:rFonts w:ascii="Garamond" w:hAnsi="Garamond"/>
            <w:noProof/>
          </w:rPr>
          <w:t>1.5.</w:t>
        </w:r>
        <w:r w:rsidR="00567C3E" w:rsidRPr="001534A8">
          <w:rPr>
            <w:rFonts w:ascii="Garamond" w:hAnsi="Garamond"/>
            <w:noProof/>
          </w:rPr>
          <w:tab/>
        </w:r>
        <w:r w:rsidR="00567C3E" w:rsidRPr="001534A8">
          <w:rPr>
            <w:rStyle w:val="Hipercze"/>
            <w:rFonts w:ascii="Garamond" w:hAnsi="Garamond"/>
            <w:noProof/>
          </w:rPr>
          <w:t>Edukacja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_Toc419705519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43</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20" w:history="1">
        <w:r w:rsidR="00567C3E" w:rsidRPr="001534A8">
          <w:rPr>
            <w:rStyle w:val="Hipercze"/>
            <w:rFonts w:ascii="Garamond" w:hAnsi="Garamond"/>
            <w:noProof/>
          </w:rPr>
          <w:t>1.6.</w:t>
        </w:r>
        <w:r w:rsidR="00567C3E" w:rsidRPr="001534A8">
          <w:rPr>
            <w:rFonts w:ascii="Garamond" w:hAnsi="Garamond"/>
            <w:noProof/>
          </w:rPr>
          <w:tab/>
        </w:r>
        <w:r w:rsidR="00567C3E" w:rsidRPr="001534A8">
          <w:rPr>
            <w:rStyle w:val="Hipercze"/>
            <w:rFonts w:ascii="Garamond" w:hAnsi="Garamond"/>
            <w:noProof/>
          </w:rPr>
          <w:t>Kultura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_Toc419705520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53</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21" w:history="1">
        <w:r w:rsidR="00567C3E" w:rsidRPr="001534A8">
          <w:rPr>
            <w:rStyle w:val="Hipercze"/>
            <w:rFonts w:ascii="Garamond" w:hAnsi="Garamond"/>
            <w:noProof/>
          </w:rPr>
          <w:t>1.7.</w:t>
        </w:r>
        <w:r w:rsidR="00567C3E" w:rsidRPr="001534A8">
          <w:rPr>
            <w:rFonts w:ascii="Garamond" w:hAnsi="Garamond"/>
            <w:noProof/>
          </w:rPr>
          <w:tab/>
        </w:r>
        <w:r w:rsidR="00567C3E" w:rsidRPr="001534A8">
          <w:rPr>
            <w:rStyle w:val="Hipercze"/>
            <w:rFonts w:ascii="Garamond" w:hAnsi="Garamond"/>
            <w:noProof/>
          </w:rPr>
          <w:t>Obszary problemowe wymagające rewitalizacji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_Toc419705521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55</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22" w:history="1">
        <w:r w:rsidR="00567C3E" w:rsidRPr="001534A8">
          <w:rPr>
            <w:rStyle w:val="Hipercze"/>
            <w:rFonts w:ascii="Garamond" w:hAnsi="Garamond"/>
            <w:noProof/>
          </w:rPr>
          <w:t>1.8.</w:t>
        </w:r>
        <w:r w:rsidR="00567C3E" w:rsidRPr="001534A8">
          <w:rPr>
            <w:rFonts w:ascii="Garamond" w:hAnsi="Garamond"/>
            <w:noProof/>
          </w:rPr>
          <w:tab/>
        </w:r>
        <w:r w:rsidR="00567C3E" w:rsidRPr="001534A8">
          <w:rPr>
            <w:rStyle w:val="Hipercze"/>
            <w:rFonts w:ascii="Garamond" w:hAnsi="Garamond"/>
            <w:noProof/>
          </w:rPr>
          <w:t>Środowisko przyrodnicze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_Toc419705522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58</w:t>
        </w:r>
        <w:r w:rsidR="00567C3E" w:rsidRPr="001534A8">
          <w:rPr>
            <w:rFonts w:ascii="Garamond" w:hAnsi="Garamond"/>
            <w:noProof/>
            <w:webHidden/>
          </w:rPr>
          <w:fldChar w:fldCharType="end"/>
        </w:r>
      </w:hyperlink>
    </w:p>
    <w:p w:rsidR="00567C3E" w:rsidRPr="001534A8" w:rsidRDefault="00335582" w:rsidP="00567C3E">
      <w:pPr>
        <w:pStyle w:val="Spistreci3"/>
        <w:tabs>
          <w:tab w:val="left" w:pos="1100"/>
          <w:tab w:val="right" w:leader="dot" w:pos="9062"/>
        </w:tabs>
        <w:rPr>
          <w:rFonts w:ascii="Garamond" w:hAnsi="Garamond"/>
          <w:noProof/>
        </w:rPr>
      </w:pPr>
      <w:hyperlink w:anchor="_Toc419705523" w:history="1">
        <w:r w:rsidR="00567C3E" w:rsidRPr="001534A8">
          <w:rPr>
            <w:rStyle w:val="Hipercze"/>
            <w:rFonts w:ascii="Garamond" w:hAnsi="Garamond"/>
            <w:noProof/>
          </w:rPr>
          <w:t>1.9.</w:t>
        </w:r>
        <w:r w:rsidR="00567C3E" w:rsidRPr="001534A8">
          <w:rPr>
            <w:rFonts w:ascii="Garamond" w:hAnsi="Garamond"/>
            <w:noProof/>
          </w:rPr>
          <w:tab/>
        </w:r>
        <w:r w:rsidR="00567C3E" w:rsidRPr="001534A8">
          <w:rPr>
            <w:rStyle w:val="Hipercze"/>
            <w:rFonts w:ascii="Garamond" w:hAnsi="Garamond"/>
            <w:noProof/>
          </w:rPr>
          <w:t>Infrastruktura techniczna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_Toc419705523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63</w:t>
        </w:r>
        <w:r w:rsidR="00567C3E" w:rsidRPr="001534A8">
          <w:rPr>
            <w:rFonts w:ascii="Garamond" w:hAnsi="Garamond"/>
            <w:noProof/>
            <w:webHidden/>
          </w:rPr>
          <w:fldChar w:fldCharType="end"/>
        </w:r>
      </w:hyperlink>
    </w:p>
    <w:p w:rsidR="00567C3E" w:rsidRPr="001534A8" w:rsidRDefault="00335582" w:rsidP="00567C3E">
      <w:pPr>
        <w:pStyle w:val="Spistreci3"/>
        <w:tabs>
          <w:tab w:val="left" w:pos="1320"/>
          <w:tab w:val="right" w:leader="dot" w:pos="9062"/>
        </w:tabs>
        <w:rPr>
          <w:rFonts w:ascii="Garamond" w:hAnsi="Garamond"/>
          <w:noProof/>
        </w:rPr>
      </w:pPr>
      <w:hyperlink w:anchor="_Toc419705524" w:history="1">
        <w:r w:rsidR="00567C3E" w:rsidRPr="001534A8">
          <w:rPr>
            <w:rStyle w:val="Hipercze"/>
            <w:rFonts w:ascii="Garamond" w:hAnsi="Garamond"/>
            <w:noProof/>
          </w:rPr>
          <w:t>1.10.</w:t>
        </w:r>
        <w:r w:rsidR="00567C3E" w:rsidRPr="001534A8">
          <w:rPr>
            <w:rFonts w:ascii="Garamond" w:hAnsi="Garamond"/>
            <w:noProof/>
          </w:rPr>
          <w:tab/>
        </w:r>
        <w:r w:rsidR="00567C3E" w:rsidRPr="001534A8">
          <w:rPr>
            <w:rStyle w:val="Hipercze"/>
            <w:rFonts w:ascii="Garamond" w:hAnsi="Garamond"/>
            <w:noProof/>
          </w:rPr>
          <w:t>Efektywność energetyczna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_Toc419705524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71</w:t>
        </w:r>
        <w:r w:rsidR="00567C3E" w:rsidRPr="001534A8">
          <w:rPr>
            <w:rFonts w:ascii="Garamond" w:hAnsi="Garamond"/>
            <w:noProof/>
            <w:webHidden/>
          </w:rPr>
          <w:fldChar w:fldCharType="end"/>
        </w:r>
      </w:hyperlink>
    </w:p>
    <w:p w:rsidR="00567C3E" w:rsidRPr="001534A8" w:rsidRDefault="00335582" w:rsidP="00567C3E">
      <w:pPr>
        <w:pStyle w:val="Spistreci3"/>
        <w:tabs>
          <w:tab w:val="left" w:pos="1320"/>
          <w:tab w:val="right" w:leader="dot" w:pos="9062"/>
        </w:tabs>
        <w:rPr>
          <w:rFonts w:ascii="Garamond" w:hAnsi="Garamond"/>
          <w:noProof/>
        </w:rPr>
      </w:pPr>
      <w:hyperlink w:anchor="_Toc419705525" w:history="1">
        <w:r w:rsidR="00567C3E" w:rsidRPr="001534A8">
          <w:rPr>
            <w:rStyle w:val="Hipercze"/>
            <w:rFonts w:ascii="Garamond" w:hAnsi="Garamond"/>
            <w:noProof/>
          </w:rPr>
          <w:t>1.11.</w:t>
        </w:r>
        <w:r w:rsidR="00567C3E" w:rsidRPr="001534A8">
          <w:rPr>
            <w:rFonts w:ascii="Garamond" w:hAnsi="Garamond"/>
            <w:noProof/>
          </w:rPr>
          <w:tab/>
        </w:r>
        <w:r w:rsidR="00567C3E" w:rsidRPr="001534A8">
          <w:rPr>
            <w:rStyle w:val="Hipercze"/>
            <w:rFonts w:ascii="Garamond" w:hAnsi="Garamond"/>
            <w:noProof/>
          </w:rPr>
          <w:t>Podsumowanie diagnozy</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_Toc419705525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74</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26" w:history="1">
        <w:r w:rsidR="00567C3E" w:rsidRPr="001534A8">
          <w:rPr>
            <w:rStyle w:val="Hipercze"/>
            <w:rFonts w:ascii="Garamond" w:hAnsi="Garamond"/>
            <w:noProof/>
          </w:rPr>
          <w:t>2.</w:t>
        </w:r>
        <w:r w:rsidR="00567C3E" w:rsidRPr="001534A8">
          <w:rPr>
            <w:rFonts w:ascii="Garamond" w:hAnsi="Garamond"/>
            <w:noProof/>
          </w:rPr>
          <w:tab/>
        </w:r>
        <w:r w:rsidR="00567C3E" w:rsidRPr="001534A8">
          <w:rPr>
            <w:rStyle w:val="Hipercze"/>
            <w:rFonts w:ascii="Garamond" w:hAnsi="Garamond"/>
            <w:noProof/>
          </w:rPr>
          <w:t>Terytorialny wymiar wsparcia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_Toc419705526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76</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27" w:history="1">
        <w:r w:rsidR="00567C3E" w:rsidRPr="001534A8">
          <w:rPr>
            <w:rStyle w:val="Hipercze"/>
            <w:rFonts w:ascii="Garamond" w:hAnsi="Garamond"/>
            <w:noProof/>
          </w:rPr>
          <w:t>3.</w:t>
        </w:r>
        <w:r w:rsidR="00567C3E" w:rsidRPr="001534A8">
          <w:rPr>
            <w:rFonts w:ascii="Garamond" w:hAnsi="Garamond"/>
            <w:noProof/>
          </w:rPr>
          <w:tab/>
        </w:r>
        <w:r w:rsidR="00567C3E" w:rsidRPr="001534A8">
          <w:rPr>
            <w:rStyle w:val="Hipercze"/>
            <w:rFonts w:ascii="Garamond" w:hAnsi="Garamond"/>
            <w:noProof/>
          </w:rPr>
          <w:t>Cele rozwojowe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_Toc419705527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82</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28" w:history="1">
        <w:r w:rsidR="00567C3E" w:rsidRPr="001534A8">
          <w:rPr>
            <w:rStyle w:val="Hipercze"/>
            <w:rFonts w:ascii="Garamond" w:hAnsi="Garamond"/>
            <w:noProof/>
          </w:rPr>
          <w:t>4.</w:t>
        </w:r>
        <w:r w:rsidR="00567C3E" w:rsidRPr="001534A8">
          <w:rPr>
            <w:rFonts w:ascii="Garamond" w:hAnsi="Garamond"/>
            <w:noProof/>
          </w:rPr>
          <w:tab/>
        </w:r>
        <w:r w:rsidR="00567C3E" w:rsidRPr="001534A8">
          <w:rPr>
            <w:rStyle w:val="Hipercze"/>
            <w:rFonts w:ascii="Garamond" w:hAnsi="Garamond"/>
            <w:noProof/>
          </w:rPr>
          <w:t>Priorytety inwestycyjne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_Toc419705528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90</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29" w:history="1">
        <w:r w:rsidR="00567C3E" w:rsidRPr="001534A8">
          <w:rPr>
            <w:rStyle w:val="Hipercze"/>
            <w:rFonts w:ascii="Garamond" w:hAnsi="Garamond"/>
            <w:noProof/>
          </w:rPr>
          <w:t>5.</w:t>
        </w:r>
        <w:r w:rsidR="00567C3E" w:rsidRPr="001534A8">
          <w:rPr>
            <w:rFonts w:ascii="Garamond" w:hAnsi="Garamond"/>
            <w:noProof/>
          </w:rPr>
          <w:tab/>
        </w:r>
        <w:r w:rsidR="00567C3E" w:rsidRPr="001534A8">
          <w:rPr>
            <w:rStyle w:val="Hipercze"/>
            <w:rFonts w:ascii="Garamond" w:hAnsi="Garamond"/>
            <w:noProof/>
          </w:rPr>
          <w:t>Tryb i zasady naboru projektów do Strategii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_Toc419705529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94</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30" w:history="1">
        <w:r w:rsidR="00567C3E" w:rsidRPr="001534A8">
          <w:rPr>
            <w:rStyle w:val="Hipercze"/>
            <w:rFonts w:ascii="Garamond" w:hAnsi="Garamond"/>
            <w:noProof/>
          </w:rPr>
          <w:t>6.</w:t>
        </w:r>
        <w:r w:rsidR="00567C3E" w:rsidRPr="001534A8">
          <w:rPr>
            <w:rFonts w:ascii="Garamond" w:hAnsi="Garamond"/>
            <w:noProof/>
          </w:rPr>
          <w:tab/>
        </w:r>
        <w:r w:rsidR="00567C3E" w:rsidRPr="001534A8">
          <w:rPr>
            <w:rStyle w:val="Hipercze"/>
            <w:rFonts w:ascii="Garamond" w:hAnsi="Garamond"/>
            <w:noProof/>
          </w:rPr>
          <w:t>Lista przedsięwzięć oraz instrumenty realizacji</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_Toc419705530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96</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31" w:history="1">
        <w:r w:rsidR="00567C3E" w:rsidRPr="001534A8">
          <w:rPr>
            <w:rStyle w:val="Hipercze"/>
            <w:rFonts w:ascii="Garamond" w:hAnsi="Garamond"/>
            <w:noProof/>
          </w:rPr>
          <w:t>7.</w:t>
        </w:r>
        <w:r w:rsidR="00567C3E" w:rsidRPr="001534A8">
          <w:rPr>
            <w:rFonts w:ascii="Garamond" w:hAnsi="Garamond"/>
            <w:noProof/>
          </w:rPr>
          <w:tab/>
        </w:r>
        <w:r w:rsidR="00567C3E" w:rsidRPr="001534A8">
          <w:rPr>
            <w:rStyle w:val="Hipercze"/>
            <w:rFonts w:ascii="Garamond" w:hAnsi="Garamond"/>
            <w:noProof/>
          </w:rPr>
          <w:t>Wskaźniki do osiągnięcia w obszarze</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_Toc419705531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144</w:t>
        </w:r>
        <w:r w:rsidR="00567C3E" w:rsidRPr="001534A8">
          <w:rPr>
            <w:rFonts w:ascii="Garamond" w:hAnsi="Garamond"/>
            <w:noProof/>
            <w:webHidden/>
          </w:rPr>
          <w:fldChar w:fldCharType="end"/>
        </w:r>
      </w:hyperlink>
    </w:p>
    <w:p w:rsidR="00567C3E" w:rsidRPr="001534A8" w:rsidRDefault="00335582" w:rsidP="00567C3E">
      <w:pPr>
        <w:pStyle w:val="Spistreci2"/>
        <w:tabs>
          <w:tab w:val="left" w:pos="660"/>
          <w:tab w:val="right" w:leader="dot" w:pos="9062"/>
        </w:tabs>
        <w:rPr>
          <w:rFonts w:ascii="Garamond" w:hAnsi="Garamond"/>
          <w:noProof/>
        </w:rPr>
      </w:pPr>
      <w:hyperlink w:anchor="_Toc419705532" w:history="1">
        <w:r w:rsidR="00567C3E" w:rsidRPr="001534A8">
          <w:rPr>
            <w:rStyle w:val="Hipercze"/>
            <w:rFonts w:ascii="Garamond" w:hAnsi="Garamond"/>
            <w:noProof/>
          </w:rPr>
          <w:t>8.</w:t>
        </w:r>
        <w:r w:rsidR="00567C3E" w:rsidRPr="001534A8">
          <w:rPr>
            <w:rFonts w:ascii="Garamond" w:hAnsi="Garamond"/>
            <w:noProof/>
          </w:rPr>
          <w:tab/>
        </w:r>
        <w:r w:rsidR="00567C3E" w:rsidRPr="001534A8">
          <w:rPr>
            <w:rStyle w:val="Hipercze"/>
            <w:rFonts w:ascii="Garamond" w:hAnsi="Garamond"/>
            <w:noProof/>
          </w:rPr>
          <w:t>System wdrażania i monitorowania</w:t>
        </w:r>
        <w:r w:rsidR="00567C3E" w:rsidRPr="001534A8">
          <w:rPr>
            <w:rFonts w:ascii="Garamond" w:hAnsi="Garamond"/>
            <w:noProof/>
            <w:webHidden/>
          </w:rPr>
          <w:tab/>
        </w:r>
        <w:r w:rsidR="00567C3E" w:rsidRPr="001534A8">
          <w:rPr>
            <w:rFonts w:ascii="Garamond" w:hAnsi="Garamond"/>
            <w:noProof/>
            <w:webHidden/>
          </w:rPr>
          <w:fldChar w:fldCharType="begin"/>
        </w:r>
        <w:r w:rsidR="00567C3E" w:rsidRPr="001534A8">
          <w:rPr>
            <w:rFonts w:ascii="Garamond" w:hAnsi="Garamond"/>
            <w:noProof/>
            <w:webHidden/>
          </w:rPr>
          <w:instrText xml:space="preserve"> PAGEREF _Toc419705532 \h </w:instrText>
        </w:r>
        <w:r w:rsidR="00567C3E" w:rsidRPr="001534A8">
          <w:rPr>
            <w:rFonts w:ascii="Garamond" w:hAnsi="Garamond"/>
            <w:noProof/>
            <w:webHidden/>
          </w:rPr>
        </w:r>
        <w:r w:rsidR="00567C3E" w:rsidRPr="001534A8">
          <w:rPr>
            <w:rFonts w:ascii="Garamond" w:hAnsi="Garamond"/>
            <w:noProof/>
            <w:webHidden/>
          </w:rPr>
          <w:fldChar w:fldCharType="separate"/>
        </w:r>
        <w:r w:rsidR="00C613D1">
          <w:rPr>
            <w:rFonts w:ascii="Garamond" w:hAnsi="Garamond"/>
            <w:noProof/>
            <w:webHidden/>
          </w:rPr>
          <w:t>146</w:t>
        </w:r>
        <w:r w:rsidR="00567C3E" w:rsidRPr="001534A8">
          <w:rPr>
            <w:rFonts w:ascii="Garamond" w:hAnsi="Garamond"/>
            <w:noProof/>
            <w:webHidden/>
          </w:rPr>
          <w:fldChar w:fldCharType="end"/>
        </w:r>
      </w:hyperlink>
    </w:p>
    <w:p w:rsidR="00567C3E" w:rsidRPr="001534A8" w:rsidRDefault="00567C3E" w:rsidP="00567C3E">
      <w:pPr>
        <w:jc w:val="both"/>
        <w:rPr>
          <w:rFonts w:ascii="Garamond" w:hAnsi="Garamond"/>
          <w:b/>
          <w:color w:val="4F2D7F"/>
          <w:sz w:val="40"/>
        </w:rPr>
      </w:pPr>
      <w:r w:rsidRPr="001534A8">
        <w:rPr>
          <w:rFonts w:ascii="Garamond" w:hAnsi="Garamond"/>
          <w:b/>
          <w:color w:val="4F2D7F"/>
        </w:rPr>
        <w:fldChar w:fldCharType="end"/>
      </w:r>
      <w:r w:rsidRPr="001534A8">
        <w:rPr>
          <w:rFonts w:ascii="Garamond" w:hAnsi="Garamond"/>
          <w:b/>
          <w:color w:val="4F2D7F"/>
          <w:sz w:val="40"/>
        </w:rPr>
        <w:t xml:space="preserve"> </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pStyle w:val="Akapitzlist"/>
        <w:ind w:left="36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Akapitzlist"/>
        <w:ind w:left="0"/>
        <w:jc w:val="both"/>
        <w:rPr>
          <w:rFonts w:ascii="Garamond" w:hAnsi="Garamond"/>
          <w:b/>
          <w:color w:val="4F2D7F"/>
          <w:sz w:val="40"/>
        </w:rPr>
      </w:pPr>
    </w:p>
    <w:p w:rsidR="00567C3E" w:rsidRPr="001534A8" w:rsidRDefault="00567C3E" w:rsidP="00567C3E">
      <w:pPr>
        <w:pStyle w:val="ST1"/>
      </w:pPr>
      <w:bookmarkStart w:id="0" w:name="_Toc419705513"/>
      <w:r w:rsidRPr="001534A8">
        <w:lastRenderedPageBreak/>
        <w:t>Wstęp</w:t>
      </w:r>
      <w:bookmarkEnd w:id="0"/>
    </w:p>
    <w:p w:rsidR="00567C3E" w:rsidRPr="001534A8" w:rsidRDefault="00567C3E" w:rsidP="00567C3E">
      <w:pPr>
        <w:ind w:firstLine="708"/>
        <w:jc w:val="both"/>
        <w:rPr>
          <w:rFonts w:ascii="Garamond" w:hAnsi="Garamond"/>
        </w:rPr>
      </w:pPr>
      <w:r w:rsidRPr="001534A8">
        <w:rPr>
          <w:rFonts w:ascii="Garamond" w:hAnsi="Garamond"/>
        </w:rPr>
        <w:t xml:space="preserve">Polityka terytorialna jest narzędziem służącym do realizacji założeń Strategii rozwoju kujawsko-pomorskiego do roku 2020 poprzez wykorzystanie m.in. środków unijnych, a w szczególności środków z Regionalnego Programu Operacyjnego Województwa Kujawsko-Pomorskiego na lata 2014 – 2020. </w:t>
      </w:r>
    </w:p>
    <w:p w:rsidR="00567C3E" w:rsidRPr="001534A8" w:rsidRDefault="00567C3E" w:rsidP="00567C3E">
      <w:pPr>
        <w:ind w:firstLine="708"/>
        <w:jc w:val="both"/>
        <w:rPr>
          <w:rFonts w:ascii="Garamond" w:hAnsi="Garamond"/>
        </w:rPr>
      </w:pPr>
      <w:r w:rsidRPr="001534A8">
        <w:rPr>
          <w:rFonts w:ascii="Garamond" w:hAnsi="Garamond"/>
        </w:rPr>
        <w:t>Zarząd Województwa Kujawsko-Pomorskiego w dniu 4 lutego 2015 roku przyjął założenia polityki terytorialnej województwa kujawsko-pomorskiego na lata 2014 – 2020, które są usystematyzowanym zestawieniem procesu planowania i wdrażania polityki terytorialnej na czterech poziomach:</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wojewódzki – obejmujący miasta Bydgoszcz i Toruń oraz obszar powiązany z nimi funkcjonalnie (ZIT wojewódzki),</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 xml:space="preserve">Poziom regionalny i </w:t>
      </w:r>
      <w:proofErr w:type="spellStart"/>
      <w:r w:rsidRPr="001534A8">
        <w:rPr>
          <w:rFonts w:ascii="Garamond" w:hAnsi="Garamond"/>
        </w:rPr>
        <w:t>subregionalny</w:t>
      </w:r>
      <w:proofErr w:type="spellEnd"/>
      <w:r w:rsidRPr="001534A8">
        <w:rPr>
          <w:rFonts w:ascii="Garamond" w:hAnsi="Garamond"/>
        </w:rPr>
        <w:t xml:space="preserve"> – obejmujący miasta Włocławek, Grudziądz i Inowrocław wraz z ich obszarami powiązanymi z nimi funkcjonalnie (OSI miast regionalnych/</w:t>
      </w:r>
      <w:proofErr w:type="spellStart"/>
      <w:r w:rsidRPr="001534A8">
        <w:rPr>
          <w:rFonts w:ascii="Garamond" w:hAnsi="Garamond"/>
        </w:rPr>
        <w:t>subregionalnych</w:t>
      </w:r>
      <w:proofErr w:type="spellEnd"/>
      <w:r w:rsidRPr="001534A8">
        <w:rPr>
          <w:rFonts w:ascii="Garamond" w:hAnsi="Garamond"/>
        </w:rPr>
        <w:t>),</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ponadlokalny – obejmujący obszar powiatu ziemskiego (Obszary Rozwoju Społeczno-Gospodarczego),</w:t>
      </w:r>
    </w:p>
    <w:p w:rsidR="00567C3E" w:rsidRPr="001534A8" w:rsidRDefault="00567C3E" w:rsidP="00E36E87">
      <w:pPr>
        <w:pStyle w:val="Akapitzlist"/>
        <w:numPr>
          <w:ilvl w:val="0"/>
          <w:numId w:val="78"/>
        </w:numPr>
        <w:spacing w:before="120" w:after="120"/>
        <w:jc w:val="both"/>
        <w:rPr>
          <w:rFonts w:ascii="Garamond" w:hAnsi="Garamond"/>
        </w:rPr>
      </w:pPr>
      <w:r w:rsidRPr="001534A8">
        <w:rPr>
          <w:rFonts w:ascii="Garamond" w:hAnsi="Garamond"/>
        </w:rPr>
        <w:t>Poziom lokalny – działający w ramach realizacji idei rozwoju lokalnego kierowanego przez społeczność (RLKS).</w:t>
      </w:r>
    </w:p>
    <w:p w:rsidR="00567C3E" w:rsidRPr="001534A8" w:rsidRDefault="00567C3E" w:rsidP="00567C3E">
      <w:pPr>
        <w:ind w:firstLine="708"/>
        <w:jc w:val="both"/>
        <w:rPr>
          <w:rFonts w:ascii="Garamond" w:hAnsi="Garamond"/>
        </w:rPr>
      </w:pPr>
      <w:r w:rsidRPr="001534A8">
        <w:rPr>
          <w:rFonts w:ascii="Garamond" w:hAnsi="Garamond"/>
        </w:rPr>
        <w:t xml:space="preserve">Obszar Rozwoju Społeczno-Gospodarczego swoim zasięgiem obejmuje jednorazowo jeden Powiat. Starosta Powiatowy jest inicjatorem i koordynatorem przedsięwzięć w ramach ORSG. Ponadto podejmuje działania na rzecz stworzenia warunków dla współpracy w zakresie rozwoju społeczno-gospodarczego. </w:t>
      </w:r>
    </w:p>
    <w:p w:rsidR="00567C3E" w:rsidRPr="001534A8" w:rsidRDefault="00567C3E" w:rsidP="00567C3E">
      <w:pPr>
        <w:ind w:firstLine="708"/>
        <w:jc w:val="both"/>
        <w:rPr>
          <w:rFonts w:ascii="Garamond" w:hAnsi="Garamond"/>
        </w:rPr>
      </w:pPr>
      <w:r w:rsidRPr="001534A8">
        <w:rPr>
          <w:rFonts w:ascii="Garamond" w:hAnsi="Garamond"/>
        </w:rPr>
        <w:t>Współpraca Starostwa Powiatowego z pozostałymi jednostkami terytorialnymi z obszaru powiatu i partnerami społeczno-gospodarczymi odbywa się w ramach Porozumienia, którego sygnatariuszami są przedstawiciele Powiatu oraz poszczególnych miast i gmin</w:t>
      </w:r>
      <w:r w:rsidRPr="001534A8">
        <w:rPr>
          <w:rStyle w:val="Odwoanieprzypisudolnego"/>
          <w:rFonts w:ascii="Garamond" w:hAnsi="Garamond"/>
        </w:rPr>
        <w:footnoteReference w:id="1"/>
      </w:r>
      <w:r w:rsidRPr="001534A8">
        <w:rPr>
          <w:rFonts w:ascii="Garamond" w:hAnsi="Garamond"/>
        </w:rPr>
        <w:t>.</w:t>
      </w:r>
    </w:p>
    <w:p w:rsidR="00567C3E" w:rsidRPr="001534A8" w:rsidRDefault="00567C3E" w:rsidP="00567C3E">
      <w:pPr>
        <w:ind w:firstLine="708"/>
        <w:jc w:val="both"/>
        <w:rPr>
          <w:rFonts w:ascii="Garamond" w:hAnsi="Garamond"/>
        </w:rPr>
      </w:pPr>
      <w:r w:rsidRPr="001534A8">
        <w:rPr>
          <w:rFonts w:ascii="Garamond" w:hAnsi="Garamond"/>
        </w:rPr>
        <w:t>Strategia Obszaru</w:t>
      </w:r>
      <w:r>
        <w:rPr>
          <w:rFonts w:ascii="Garamond" w:hAnsi="Garamond"/>
        </w:rPr>
        <w:t xml:space="preserve"> </w:t>
      </w:r>
      <w:r w:rsidRPr="001534A8">
        <w:rPr>
          <w:rFonts w:ascii="Garamond" w:hAnsi="Garamond"/>
        </w:rPr>
        <w:t>Rozwoju Społeczno-Gospodarczego Powiatu Brodnickiego stanowi zbiór wytycznych dotyczących postawionych celów, zadań i środków ich realizacji na podstawie specyfiki analizowanego obszaru. Przedstawia zarys ogólny oraz szczegółowy, określający kierunek działań władz Powiatu, zachowując jednocześnie elastyczność, dającą możliwość wprowadzania zmian określonych jego elementów.</w:t>
      </w:r>
    </w:p>
    <w:p w:rsidR="00567C3E" w:rsidRPr="001534A8" w:rsidRDefault="00567C3E" w:rsidP="00567C3E">
      <w:pPr>
        <w:ind w:firstLine="708"/>
        <w:jc w:val="both"/>
        <w:rPr>
          <w:rFonts w:ascii="Garamond" w:hAnsi="Garamond"/>
        </w:rPr>
      </w:pPr>
      <w:r w:rsidRPr="001534A8">
        <w:rPr>
          <w:rFonts w:ascii="Garamond" w:hAnsi="Garamond"/>
        </w:rPr>
        <w:t xml:space="preserve">Przygotowanie niniejszego dokumentu zlecono firmie Grant Thornton Frąckowiak Sp. z o.o. przez sygnatariuszy Porozumienia. </w:t>
      </w:r>
    </w:p>
    <w:p w:rsidR="00567C3E" w:rsidRPr="001534A8" w:rsidRDefault="00567C3E" w:rsidP="00567C3E">
      <w:pPr>
        <w:ind w:firstLine="708"/>
        <w:jc w:val="both"/>
        <w:rPr>
          <w:rFonts w:ascii="Garamond" w:hAnsi="Garamond"/>
        </w:rPr>
      </w:pPr>
      <w:r w:rsidRPr="001534A8">
        <w:rPr>
          <w:rFonts w:ascii="Garamond" w:hAnsi="Garamond"/>
        </w:rPr>
        <w:t>Strategia powstała przy współpracy z reprezentantami Starostwa Powiatowego w Brodnicy, przedstawicielami władz Gmin wchodzących w skład Powiatu oraz instytucji i jednostek organizacyjnych działających na jego terenie, w oparciu o wyniki przeprowadzonych wywiadów, spotkań i konsultacji społecznych.</w:t>
      </w:r>
    </w:p>
    <w:p w:rsidR="00567C3E" w:rsidRPr="001534A8" w:rsidRDefault="00567C3E" w:rsidP="00567C3E">
      <w:pPr>
        <w:pStyle w:val="T1"/>
        <w:ind w:firstLine="708"/>
        <w:jc w:val="both"/>
        <w:rPr>
          <w:rFonts w:cstheme="minorBidi"/>
          <w:b w:val="0"/>
          <w:color w:val="auto"/>
          <w:sz w:val="22"/>
        </w:rPr>
      </w:pPr>
      <w:r w:rsidRPr="001534A8">
        <w:rPr>
          <w:rFonts w:cstheme="minorBidi"/>
          <w:b w:val="0"/>
          <w:color w:val="auto"/>
          <w:sz w:val="22"/>
        </w:rPr>
        <w:t>Strategia składa się z ośmiu rozdziałów. Struktura dokumentu wraz z krótką charakterystyką poszczególnych rozdziałów została przybliżona w poniższej tabeli.</w:t>
      </w:r>
    </w:p>
    <w:p w:rsidR="00567C3E" w:rsidRPr="001534A8" w:rsidRDefault="00567C3E" w:rsidP="00567C3E">
      <w:pPr>
        <w:pStyle w:val="T1"/>
        <w:ind w:firstLine="708"/>
        <w:jc w:val="both"/>
        <w:rPr>
          <w:rFonts w:cstheme="minorBidi"/>
          <w:b w:val="0"/>
          <w:color w:val="auto"/>
          <w:sz w:val="22"/>
        </w:rPr>
      </w:pPr>
    </w:p>
    <w:p w:rsidR="00567C3E" w:rsidRPr="001534A8" w:rsidRDefault="00567C3E" w:rsidP="00567C3E">
      <w:pPr>
        <w:pStyle w:val="T1"/>
        <w:ind w:firstLine="708"/>
        <w:jc w:val="both"/>
      </w:pPr>
    </w:p>
    <w:p w:rsidR="00567C3E" w:rsidRPr="001534A8" w:rsidRDefault="00567C3E" w:rsidP="00567C3E">
      <w:pPr>
        <w:pStyle w:val="T"/>
      </w:pPr>
      <w:bookmarkStart w:id="1" w:name="_Toc419105885"/>
      <w:bookmarkStart w:id="2" w:name="_Toc430871983"/>
      <w:r w:rsidRPr="001534A8">
        <w:lastRenderedPageBreak/>
        <w:t xml:space="preserve">Tabela </w:t>
      </w:r>
      <w:r w:rsidR="00335582">
        <w:fldChar w:fldCharType="begin"/>
      </w:r>
      <w:r w:rsidR="00335582">
        <w:instrText xml:space="preserve"> SEQ Tabela \* ARABIC </w:instrText>
      </w:r>
      <w:r w:rsidR="00335582">
        <w:fldChar w:fldCharType="separate"/>
      </w:r>
      <w:r w:rsidR="00C613D1">
        <w:rPr>
          <w:noProof/>
        </w:rPr>
        <w:t>1</w:t>
      </w:r>
      <w:r w:rsidR="00335582">
        <w:rPr>
          <w:noProof/>
        </w:rPr>
        <w:fldChar w:fldCharType="end"/>
      </w:r>
      <w:r w:rsidRPr="001534A8">
        <w:t>. Struktura dokumentu</w:t>
      </w:r>
      <w:bookmarkEnd w:id="1"/>
      <w:bookmarkEnd w:id="2"/>
    </w:p>
    <w:tbl>
      <w:tblPr>
        <w:tblStyle w:val="Tabela-Siatka"/>
        <w:tblW w:w="0" w:type="auto"/>
        <w:tblLook w:val="04A0" w:firstRow="1" w:lastRow="0" w:firstColumn="1" w:lastColumn="0" w:noHBand="0" w:noVBand="1"/>
      </w:tblPr>
      <w:tblGrid>
        <w:gridCol w:w="1242"/>
        <w:gridCol w:w="2835"/>
        <w:gridCol w:w="5135"/>
      </w:tblGrid>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l2br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p>
        </w:tc>
        <w:tc>
          <w:tcPr>
            <w:tcW w:w="2835" w:type="dxa"/>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Tytuł rozdziału</w:t>
            </w:r>
          </w:p>
        </w:tc>
        <w:tc>
          <w:tcPr>
            <w:tcW w:w="5135" w:type="dxa"/>
            <w:tcBorders>
              <w:top w:val="single" w:sz="4" w:space="0" w:color="824BB0"/>
              <w:left w:val="single" w:sz="4" w:space="0" w:color="FFFFFF" w:themeColor="background1"/>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Zakres</w:t>
            </w:r>
          </w:p>
        </w:tc>
      </w:tr>
      <w:tr w:rsidR="00567C3E" w:rsidRPr="001534A8" w:rsidTr="00D32FA7">
        <w:tc>
          <w:tcPr>
            <w:tcW w:w="1242" w:type="dxa"/>
            <w:tcBorders>
              <w:top w:val="single" w:sz="4" w:space="0" w:color="824BB0"/>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1</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Diagnoza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Obecna sytuacja Powiatu z podziałem na poszczególne obszary z wyszczególnieniem wniosków oraz z podsumowaniem zawierającym najważniejsze problemy i bariery rozwojowe oraz potencjały i szanse obszaru</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2</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Terytorialny wymiar wsparcia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Główne problemy rozwojowe, uwarunkowania i potencjały Powiatu Brodnickiego w odniesieniu do poszczególnych priorytetów inwestycyjnych przewidujących zintegrowane podejście do rozwoju terytorialnego</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3</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Cele rozwojowe operacyjne i strategiczne uwzględniające założenia innych dokumentów strategicznych</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4</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Priorytety inwestycyjne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Tabela przedstawiająca logikę interwencji strategicznej, wskazującą metody realizacji celów, zasięg terytorialny oraz mierzalne rezultaty realizacji poszczególnych działań w postaci planowanych do osiągnięcia wskaźników</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5</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Tryb i zasady naboru projektów do Strategii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Szczegółowe omówienie trybu i zasad naboru projektów do Strategii</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6</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przedsięwzięć oraz instrumenty realizacji</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założonych przedsięwzięć oraz narzędzia ich realizacji z podziałem na listę podstawową i rezerwową</w:t>
            </w:r>
          </w:p>
        </w:tc>
      </w:tr>
      <w:tr w:rsidR="00567C3E" w:rsidRPr="001534A8" w:rsidTr="00D32FA7">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7</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Wskaźniki do osiągnięcia w obszarze</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Lista i opis wskaźników wyznaczonych do osiągnięcia w obszarze</w:t>
            </w:r>
          </w:p>
        </w:tc>
      </w:tr>
      <w:tr w:rsidR="00567C3E" w:rsidRPr="001534A8" w:rsidTr="00D32FA7">
        <w:tc>
          <w:tcPr>
            <w:tcW w:w="1242" w:type="dxa"/>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line="276" w:lineRule="auto"/>
              <w:jc w:val="both"/>
              <w:rPr>
                <w:rFonts w:ascii="Garamond" w:hAnsi="Garamond"/>
                <w:b/>
                <w:color w:val="FFFFFF" w:themeColor="background1"/>
                <w:sz w:val="20"/>
                <w:szCs w:val="20"/>
              </w:rPr>
            </w:pPr>
            <w:r w:rsidRPr="001534A8">
              <w:rPr>
                <w:rFonts w:ascii="Garamond" w:hAnsi="Garamond"/>
                <w:b/>
                <w:color w:val="FFFFFF" w:themeColor="background1"/>
                <w:sz w:val="20"/>
                <w:szCs w:val="20"/>
              </w:rPr>
              <w:t>Rozdział 8</w:t>
            </w:r>
          </w:p>
        </w:tc>
        <w:tc>
          <w:tcPr>
            <w:tcW w:w="28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System wdrażania i monitorowania</w:t>
            </w:r>
          </w:p>
        </w:tc>
        <w:tc>
          <w:tcPr>
            <w:tcW w:w="5135"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line="276" w:lineRule="auto"/>
              <w:jc w:val="both"/>
              <w:rPr>
                <w:rFonts w:ascii="Garamond" w:hAnsi="Garamond"/>
                <w:sz w:val="20"/>
                <w:szCs w:val="20"/>
              </w:rPr>
            </w:pPr>
            <w:r w:rsidRPr="001534A8">
              <w:rPr>
                <w:rFonts w:ascii="Garamond" w:hAnsi="Garamond"/>
                <w:sz w:val="20"/>
                <w:szCs w:val="20"/>
              </w:rPr>
              <w:t>Wytyczne dotyczące metod wdrażania i monitorowania działań ujętych w Strategii</w:t>
            </w:r>
          </w:p>
        </w:tc>
      </w:tr>
    </w:tbl>
    <w:p w:rsidR="00567C3E" w:rsidRPr="001534A8" w:rsidRDefault="00567C3E" w:rsidP="00567C3E">
      <w:pPr>
        <w:spacing w:before="120"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Punktem wyjściowym w opracowaniu Strategii Rozwoju Powiatu Brodnickiego była analiza dokumentów dostarczonych przez przedstawicieli Starostwa Powiatowego oraz władz Gmin wchodzących w skład Powiatu, danych Głównego Urzędu Statystycznego (Bank Danych Lokalnych), jak również ogólnodostępne informacje na temat Powiatu i Gmin wchodzących w jego skład. Uzupełnieniem tych informacji i wniosków z nich wyciągniętych było przeprowadzone wśród przedsiębiorców badanie ankietowe.</w:t>
      </w:r>
    </w:p>
    <w:p w:rsidR="00567C3E" w:rsidRPr="001534A8" w:rsidRDefault="00567C3E" w:rsidP="00567C3E">
      <w:pPr>
        <w:ind w:firstLine="708"/>
        <w:jc w:val="both"/>
        <w:rPr>
          <w:rFonts w:ascii="Garamond" w:hAnsi="Garamond"/>
        </w:rPr>
      </w:pPr>
      <w:r w:rsidRPr="001534A8">
        <w:rPr>
          <w:rFonts w:ascii="Garamond" w:hAnsi="Garamond"/>
        </w:rPr>
        <w:t>Wynikiem zebrania powyższych informacji jest diagnoza, opracowana w poniższych obszarach.</w:t>
      </w: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ind w:firstLine="708"/>
        <w:jc w:val="both"/>
        <w:rPr>
          <w:rFonts w:ascii="Garamond" w:hAnsi="Garamond"/>
        </w:rPr>
      </w:pPr>
    </w:p>
    <w:p w:rsidR="00567C3E" w:rsidRPr="001534A8" w:rsidRDefault="00567C3E" w:rsidP="00567C3E">
      <w:pPr>
        <w:pStyle w:val="Legenda"/>
      </w:pPr>
      <w:bookmarkStart w:id="3" w:name="_Toc419105882"/>
    </w:p>
    <w:p w:rsidR="00567C3E" w:rsidRPr="001534A8" w:rsidRDefault="00567C3E" w:rsidP="00567C3E">
      <w:pPr>
        <w:pStyle w:val="Schemat"/>
      </w:pPr>
      <w:bookmarkStart w:id="4" w:name="_Toc419110266"/>
      <w:r w:rsidRPr="001534A8">
        <w:lastRenderedPageBreak/>
        <w:t xml:space="preserve">Schemat </w:t>
      </w:r>
      <w:r w:rsidR="00335582">
        <w:fldChar w:fldCharType="begin"/>
      </w:r>
      <w:r w:rsidR="00335582">
        <w:instrText xml:space="preserve"> SEQ Schemat \* ARABIC </w:instrText>
      </w:r>
      <w:r w:rsidR="00335582">
        <w:fldChar w:fldCharType="separate"/>
      </w:r>
      <w:r w:rsidR="00C613D1">
        <w:rPr>
          <w:noProof/>
        </w:rPr>
        <w:t>1</w:t>
      </w:r>
      <w:r w:rsidR="00335582">
        <w:rPr>
          <w:noProof/>
        </w:rPr>
        <w:fldChar w:fldCharType="end"/>
      </w:r>
      <w:r w:rsidRPr="001534A8">
        <w:t>. Przygotowanie diagnozy do Strategii</w:t>
      </w:r>
      <w:bookmarkEnd w:id="3"/>
      <w:bookmarkEnd w:id="4"/>
    </w:p>
    <w:p w:rsidR="00567C3E" w:rsidRPr="001534A8" w:rsidRDefault="00567C3E" w:rsidP="00567C3E">
      <w:pPr>
        <w:jc w:val="center"/>
      </w:pPr>
      <w:r w:rsidRPr="001534A8">
        <w:rPr>
          <w:noProof/>
        </w:rPr>
        <w:drawing>
          <wp:inline distT="0" distB="0" distL="0" distR="0" wp14:anchorId="7461EB75" wp14:editId="6B92CA8F">
            <wp:extent cx="4871923" cy="3694176"/>
            <wp:effectExtent l="0" t="0" r="0" b="1905"/>
            <wp:docPr id="86"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67C3E" w:rsidRPr="001534A8" w:rsidRDefault="00567C3E" w:rsidP="00567C3E">
      <w:pPr>
        <w:spacing w:after="24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ab/>
      </w:r>
    </w:p>
    <w:p w:rsidR="00567C3E" w:rsidRPr="001534A8" w:rsidRDefault="00567C3E" w:rsidP="00567C3E">
      <w:pPr>
        <w:ind w:firstLine="708"/>
        <w:jc w:val="both"/>
        <w:rPr>
          <w:rFonts w:ascii="Garamond" w:hAnsi="Garamond"/>
        </w:rPr>
      </w:pPr>
      <w:r w:rsidRPr="001534A8">
        <w:rPr>
          <w:rFonts w:ascii="Garamond" w:hAnsi="Garamond"/>
        </w:rPr>
        <w:t xml:space="preserve">Część diagnostyczna dokumentu stanowiła podstawę do opracowania części </w:t>
      </w:r>
      <w:proofErr w:type="spellStart"/>
      <w:r w:rsidRPr="001534A8">
        <w:rPr>
          <w:rFonts w:ascii="Garamond" w:hAnsi="Garamond"/>
        </w:rPr>
        <w:t>strategiczno</w:t>
      </w:r>
      <w:proofErr w:type="spellEnd"/>
      <w:r w:rsidRPr="001534A8">
        <w:rPr>
          <w:rFonts w:ascii="Garamond" w:hAnsi="Garamond"/>
        </w:rPr>
        <w:t>-</w:t>
      </w:r>
      <w:r>
        <w:rPr>
          <w:rFonts w:ascii="Garamond" w:hAnsi="Garamond"/>
        </w:rPr>
        <w:t>o</w:t>
      </w:r>
      <w:r w:rsidRPr="001534A8">
        <w:rPr>
          <w:rFonts w:ascii="Garamond" w:hAnsi="Garamond"/>
        </w:rPr>
        <w:t>peracyjnej Strategii.</w:t>
      </w:r>
    </w:p>
    <w:p w:rsidR="00567C3E" w:rsidRPr="001534A8" w:rsidRDefault="00567C3E" w:rsidP="00567C3E">
      <w:pPr>
        <w:pStyle w:val="Schemat"/>
      </w:pPr>
      <w:bookmarkStart w:id="5" w:name="_Toc419105883"/>
      <w:bookmarkStart w:id="6" w:name="_Toc419110267"/>
      <w:r w:rsidRPr="001534A8">
        <w:t xml:space="preserve">Schemat </w:t>
      </w:r>
      <w:r w:rsidR="00335582">
        <w:fldChar w:fldCharType="begin"/>
      </w:r>
      <w:r w:rsidR="00335582">
        <w:instrText xml:space="preserve"> SEQ Schemat \* ARABIC </w:instrText>
      </w:r>
      <w:r w:rsidR="00335582">
        <w:fldChar w:fldCharType="separate"/>
      </w:r>
      <w:r w:rsidR="00C613D1">
        <w:rPr>
          <w:noProof/>
        </w:rPr>
        <w:t>2</w:t>
      </w:r>
      <w:r w:rsidR="00335582">
        <w:rPr>
          <w:noProof/>
        </w:rPr>
        <w:fldChar w:fldCharType="end"/>
      </w:r>
      <w:r w:rsidRPr="001534A8">
        <w:t>. Proces powstawania Strategii</w:t>
      </w:r>
      <w:bookmarkEnd w:id="5"/>
      <w:bookmarkEnd w:id="6"/>
    </w:p>
    <w:p w:rsidR="00567C3E" w:rsidRPr="001534A8" w:rsidRDefault="00567C3E" w:rsidP="00567C3E">
      <w:pPr>
        <w:pStyle w:val="T1"/>
        <w:jc w:val="both"/>
      </w:pPr>
      <w:r w:rsidRPr="001534A8">
        <w:rPr>
          <w:noProof/>
        </w:rPr>
        <w:drawing>
          <wp:inline distT="0" distB="0" distL="0" distR="0" wp14:anchorId="7971C5A9" wp14:editId="1CB8CC06">
            <wp:extent cx="5593664" cy="900000"/>
            <wp:effectExtent l="19050" t="0" r="26670" b="0"/>
            <wp:docPr id="8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1534A8">
        <w:rPr>
          <w:b w:val="0"/>
        </w:rPr>
        <w:t xml:space="preserve">Źródło: </w:t>
      </w:r>
      <w:r w:rsidRPr="001534A8">
        <w:rPr>
          <w:b w:val="0"/>
          <w:i/>
        </w:rPr>
        <w:t>Opracowanie własne</w:t>
      </w:r>
      <w:r w:rsidRPr="001534A8">
        <w:tab/>
      </w:r>
    </w:p>
    <w:p w:rsidR="00567C3E" w:rsidRPr="001534A8" w:rsidRDefault="00567C3E" w:rsidP="00567C3E">
      <w:pPr>
        <w:spacing w:after="0"/>
        <w:ind w:firstLine="708"/>
        <w:jc w:val="both"/>
        <w:rPr>
          <w:rFonts w:ascii="Garamond" w:hAnsi="Garamond"/>
        </w:rPr>
      </w:pPr>
      <w:r w:rsidRPr="001534A8">
        <w:rPr>
          <w:rFonts w:ascii="Garamond" w:hAnsi="Garamond"/>
        </w:rPr>
        <w:t xml:space="preserve">Na podstawie przeprowadzonej diagnozy, zdefiniowano </w:t>
      </w:r>
      <w:r w:rsidRPr="001534A8">
        <w:rPr>
          <w:rFonts w:ascii="Garamond" w:hAnsi="Garamond"/>
          <w:b/>
        </w:rPr>
        <w:t>najważniejsze problemy</w:t>
      </w:r>
      <w:r w:rsidRPr="001534A8">
        <w:rPr>
          <w:rFonts w:ascii="Garamond" w:hAnsi="Garamond"/>
        </w:rPr>
        <w:t>, którymi są:</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Niewystarczający stopień innowacyjności i konkurencyjności gospodarki</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Niepełne dopasowanie oferty edukacyjnej do potrzeb rynku pracy</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 xml:space="preserve">Niedostatecznie dostosowany do potrzeb system opieki społecznej i zdrowotnej  </w:t>
      </w:r>
    </w:p>
    <w:p w:rsidR="00567C3E" w:rsidRPr="001534A8" w:rsidRDefault="00567C3E" w:rsidP="00E36E87">
      <w:pPr>
        <w:pStyle w:val="Akapitzlist"/>
        <w:numPr>
          <w:ilvl w:val="0"/>
          <w:numId w:val="134"/>
        </w:numPr>
        <w:spacing w:after="0"/>
        <w:jc w:val="both"/>
        <w:rPr>
          <w:rFonts w:ascii="Garamond" w:hAnsi="Garamond"/>
        </w:rPr>
      </w:pPr>
      <w:r w:rsidRPr="001534A8">
        <w:rPr>
          <w:rFonts w:ascii="Garamond" w:hAnsi="Garamond"/>
        </w:rPr>
        <w:t>Niewystarczająca ochrona dziedzictwa kulturowego i promocja walorów przyrodniczych</w:t>
      </w:r>
    </w:p>
    <w:p w:rsidR="00567C3E" w:rsidRPr="001534A8" w:rsidRDefault="00567C3E" w:rsidP="00E36E87">
      <w:pPr>
        <w:pStyle w:val="Akapitzlist"/>
        <w:numPr>
          <w:ilvl w:val="0"/>
          <w:numId w:val="134"/>
        </w:numPr>
        <w:spacing w:after="120"/>
        <w:ind w:left="1066" w:hanging="357"/>
        <w:jc w:val="both"/>
        <w:rPr>
          <w:rFonts w:ascii="Garamond" w:hAnsi="Garamond"/>
        </w:rPr>
      </w:pPr>
      <w:r w:rsidRPr="001534A8">
        <w:rPr>
          <w:rFonts w:ascii="Garamond" w:hAnsi="Garamond"/>
        </w:rPr>
        <w:t>Obniżony poziom infrastruktury technicznej</w:t>
      </w:r>
    </w:p>
    <w:p w:rsidR="00567C3E" w:rsidRPr="001534A8" w:rsidRDefault="00567C3E" w:rsidP="00567C3E">
      <w:pPr>
        <w:spacing w:after="0"/>
        <w:ind w:firstLine="708"/>
        <w:jc w:val="both"/>
        <w:rPr>
          <w:rFonts w:ascii="Garamond" w:hAnsi="Garamond"/>
        </w:rPr>
      </w:pPr>
      <w:r w:rsidRPr="001534A8">
        <w:rPr>
          <w:rFonts w:ascii="Garamond" w:hAnsi="Garamond"/>
        </w:rPr>
        <w:t xml:space="preserve">Realizacja Strategii ORSG Powiatu Brodnickiego będzie możliwa poprzez osiągnięcie celów strategicznych i operacyjnych. </w:t>
      </w:r>
      <w:r w:rsidRPr="001534A8">
        <w:rPr>
          <w:rFonts w:ascii="Garamond" w:hAnsi="Garamond"/>
          <w:b/>
        </w:rPr>
        <w:t>Cele strategiczne</w:t>
      </w:r>
      <w:r w:rsidRPr="001534A8">
        <w:rPr>
          <w:rFonts w:ascii="Garamond" w:hAnsi="Garamond"/>
        </w:rPr>
        <w:t xml:space="preserve"> to:</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Rozwój innowacyjnej i konkurencyjnej gospodarki</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Nowoczesna oferta edukacyjna odpowiadająca potrzebom rynku pracy</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t xml:space="preserve">Wzmocnienie integracji społecznej i dostosowanie systemu opieki zdrowotnej do sytuacji demograficznej  </w:t>
      </w:r>
    </w:p>
    <w:p w:rsidR="00567C3E" w:rsidRPr="001534A8" w:rsidRDefault="00567C3E" w:rsidP="00E36E87">
      <w:pPr>
        <w:pStyle w:val="Akapitzlist"/>
        <w:numPr>
          <w:ilvl w:val="0"/>
          <w:numId w:val="135"/>
        </w:numPr>
        <w:spacing w:after="0"/>
        <w:jc w:val="both"/>
        <w:rPr>
          <w:rFonts w:ascii="Garamond" w:hAnsi="Garamond"/>
        </w:rPr>
      </w:pPr>
      <w:r w:rsidRPr="001534A8">
        <w:rPr>
          <w:rFonts w:ascii="Garamond" w:hAnsi="Garamond"/>
        </w:rPr>
        <w:lastRenderedPageBreak/>
        <w:t>Ochrona dziedzictwa kulturowego regionu i promocja walorów przyrodniczych</w:t>
      </w:r>
    </w:p>
    <w:p w:rsidR="00567C3E" w:rsidRPr="001534A8" w:rsidRDefault="00567C3E" w:rsidP="00E36E87">
      <w:pPr>
        <w:pStyle w:val="Akapitzlist"/>
        <w:numPr>
          <w:ilvl w:val="0"/>
          <w:numId w:val="135"/>
        </w:numPr>
        <w:spacing w:after="120"/>
        <w:ind w:left="1066" w:hanging="357"/>
        <w:jc w:val="both"/>
        <w:rPr>
          <w:rFonts w:ascii="Garamond" w:hAnsi="Garamond"/>
        </w:rPr>
      </w:pPr>
      <w:r w:rsidRPr="001534A8">
        <w:rPr>
          <w:rFonts w:ascii="Garamond" w:hAnsi="Garamond"/>
        </w:rPr>
        <w:t>Rozwój i poprawa jakości infrastruktury technicznej</w:t>
      </w:r>
    </w:p>
    <w:p w:rsidR="00567C3E" w:rsidRPr="001534A8" w:rsidRDefault="00567C3E" w:rsidP="00567C3E">
      <w:pPr>
        <w:ind w:firstLine="709"/>
        <w:jc w:val="both"/>
        <w:rPr>
          <w:rFonts w:ascii="Garamond" w:hAnsi="Garamond"/>
        </w:rPr>
      </w:pPr>
      <w:r w:rsidRPr="001534A8">
        <w:rPr>
          <w:rFonts w:ascii="Garamond" w:hAnsi="Garamond"/>
        </w:rPr>
        <w:t xml:space="preserve">Powyższe cele będą możliwe do osiągnięcia dzięki realizacji </w:t>
      </w:r>
      <w:r w:rsidRPr="001534A8">
        <w:rPr>
          <w:rFonts w:ascii="Garamond" w:hAnsi="Garamond"/>
          <w:b/>
        </w:rPr>
        <w:t>szeregu projektów</w:t>
      </w:r>
      <w:r w:rsidRPr="001534A8">
        <w:rPr>
          <w:rFonts w:ascii="Garamond" w:hAnsi="Garamond"/>
        </w:rPr>
        <w:t xml:space="preserve">, które w założeniu mają znacząco pobudzić rozwój </w:t>
      </w:r>
      <w:proofErr w:type="spellStart"/>
      <w:r w:rsidRPr="001534A8">
        <w:rPr>
          <w:rFonts w:ascii="Garamond" w:hAnsi="Garamond"/>
        </w:rPr>
        <w:t>społeczno</w:t>
      </w:r>
      <w:proofErr w:type="spellEnd"/>
      <w:r w:rsidRPr="001534A8">
        <w:rPr>
          <w:rFonts w:ascii="Garamond" w:hAnsi="Garamond"/>
        </w:rPr>
        <w:t xml:space="preserve"> – gospodarczy Powiatu. </w:t>
      </w:r>
    </w:p>
    <w:p w:rsidR="00567C3E" w:rsidRPr="001534A8" w:rsidRDefault="00567C3E" w:rsidP="00567C3E">
      <w:pPr>
        <w:ind w:firstLine="708"/>
        <w:jc w:val="both"/>
        <w:rPr>
          <w:rFonts w:ascii="Garamond" w:hAnsi="Garamond"/>
        </w:rPr>
      </w:pPr>
      <w:r w:rsidRPr="001534A8">
        <w:rPr>
          <w:rFonts w:ascii="Garamond" w:hAnsi="Garamond"/>
        </w:rPr>
        <w:t xml:space="preserve">Procedura wyboru projektów przewidzianych do finansowania w ramach polityki terytorialnej miała charakter dwuetapowy. Wstępna selekcja (I etap oceny projektów) polegała na ocenie projektów pod kątem ich zgodności z Priorytetami Inwestycyjnymi w ramach RPO WK-P na lata 2014-2020 odnoszącymi się do poziomu powiatowego polityki terytorialnej. Kryterium to miało charakter dostępowy. Tylko projekty, które spełniły to kryterium trafiły na listę projektów poddanych dalszej ocenie. Pozostałe przedsięwzięcia znalazły się na </w:t>
      </w:r>
      <w:r w:rsidRPr="001534A8">
        <w:rPr>
          <w:rFonts w:ascii="Garamond" w:hAnsi="Garamond"/>
          <w:bCs/>
        </w:rPr>
        <w:t>liście komplementarnej</w:t>
      </w:r>
      <w:r w:rsidRPr="001534A8">
        <w:rPr>
          <w:rFonts w:ascii="Garamond" w:hAnsi="Garamond"/>
        </w:rPr>
        <w:t xml:space="preserve">. </w:t>
      </w:r>
    </w:p>
    <w:p w:rsidR="00567C3E" w:rsidRPr="001534A8" w:rsidRDefault="00567C3E" w:rsidP="00567C3E">
      <w:pPr>
        <w:spacing w:after="0"/>
        <w:ind w:firstLine="709"/>
        <w:jc w:val="both"/>
        <w:rPr>
          <w:rFonts w:ascii="Garamond" w:hAnsi="Garamond"/>
        </w:rPr>
      </w:pPr>
      <w:r w:rsidRPr="001534A8">
        <w:rPr>
          <w:rFonts w:ascii="Garamond" w:hAnsi="Garamond"/>
        </w:rPr>
        <w:t>Wyboru zadań mających największy wpływ na rozwój obszaru w latach 2015-2020 (II etap oceny projektów) dokonano z uwzględnieniem następujących kryteriów szczegółowych:</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Default="00567C3E" w:rsidP="00567C3E">
      <w:pPr>
        <w:pStyle w:val="Akapitzlist"/>
        <w:spacing w:after="120"/>
        <w:ind w:left="714"/>
        <w:jc w:val="both"/>
        <w:rPr>
          <w:rFonts w:ascii="Garamond" w:hAnsi="Garamond"/>
        </w:rPr>
      </w:pPr>
    </w:p>
    <w:p w:rsidR="00567C3E" w:rsidRPr="00D6525F" w:rsidRDefault="00567C3E" w:rsidP="00567C3E">
      <w:pPr>
        <w:pStyle w:val="Akapitzlist"/>
        <w:spacing w:after="120"/>
        <w:ind w:left="714"/>
        <w:jc w:val="both"/>
        <w:rPr>
          <w:rFonts w:ascii="Garamond" w:hAnsi="Garamond"/>
          <w:b/>
          <w:color w:val="FF0000"/>
        </w:rPr>
      </w:pPr>
    </w:p>
    <w:p w:rsidR="00567C3E" w:rsidRDefault="00567C3E" w:rsidP="00567C3E">
      <w:pPr>
        <w:ind w:firstLine="709"/>
        <w:jc w:val="both"/>
        <w:rPr>
          <w:rFonts w:ascii="Garamond" w:hAnsi="Garamond"/>
        </w:rPr>
      </w:pPr>
      <w:r w:rsidRPr="000F5FF3">
        <w:rPr>
          <w:rFonts w:ascii="Garamond" w:hAnsi="Garamond"/>
        </w:rPr>
        <w:t xml:space="preserve"> </w:t>
      </w: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1534A8" w:rsidRDefault="00567C3E" w:rsidP="00567C3E">
      <w:pPr>
        <w:ind w:firstLine="708"/>
        <w:jc w:val="both"/>
        <w:rPr>
          <w:rFonts w:ascii="Garamond" w:hAnsi="Garamond"/>
        </w:rPr>
      </w:pPr>
      <w:r w:rsidRPr="001534A8">
        <w:rPr>
          <w:rFonts w:ascii="Garamond" w:hAnsi="Garamond"/>
        </w:rPr>
        <w:t xml:space="preserve">W procesie tworzenia Strategii ORSG uwzględniono ideę partnerstwa. W ramach prac nad dokumentem przeprowadzono 5 spotkań konsultacyjnych w których uczestniczyły łącznie 173 osoby. Spotkania skierowane były m. in. do: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 Udział tych podmiotów miał przede wszystkim charakter opiniotwórczy i konsultacyjny. Był on szczególnie ważny na etapie tworzenia diagnozy, w której uwzględniono problemy i potrzeby wymienionych wyżej podmiotów. Poza spotkaniami, kontakt z partnerami miał głównie postać wywiadów pogłębionych oraz ankiet. Na jednym z otwartych spotkań konsultacyjnych, podczas którego została przedstawiona gotowa diagnoza, wszyscy zainteresowani mogli wypowiedzieć się odnośnie wyników przeprowadzonych analiz oraz przedstawić swoje uwagi. Na spotkaniu został również zaprezentowany wzór fiszki projektowej, poprzez którą można było wyrazić swoje pomysły projektowe. Została ona opublikowana na stronie internetowej Starostwa Powiatowego. Wszyscy zainteresowani mogli składać fiszki projektowe do dnia 17 kwietnia 2015 r. </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Projekt Strategii, uwzględniający przedstawione do tej pory sugestie został poddany dwutygodniowym konsultacjom społecznym, które odbywały się drogą elektroniczną w terminie od 22 maja 2015 r. do 8 czerwca 2015 r. Wszyscy zainteresowani mieli możliwość zgłoszenia swoich uwag i wniosków do dokumentu Strategii za pośrednictwem formularza realizacji konsultacji społecznych, który był dostępny zarówno w wersji elektronicznej na stronach internetowych Starostwa Powiatowego w Brodnicy oraz Gmin </w:t>
      </w:r>
      <w:r>
        <w:rPr>
          <w:rFonts w:ascii="Garamond" w:hAnsi="Garamond"/>
        </w:rPr>
        <w:t>Powiatu B</w:t>
      </w:r>
      <w:r w:rsidRPr="001534A8">
        <w:rPr>
          <w:rFonts w:ascii="Garamond" w:hAnsi="Garamond"/>
        </w:rPr>
        <w:t xml:space="preserve">rodnickiego, jak i w wersji papierowej w siedzibie </w:t>
      </w:r>
      <w:r w:rsidRPr="000F5FF3">
        <w:rPr>
          <w:rFonts w:ascii="Garamond" w:hAnsi="Garamond"/>
        </w:rPr>
        <w:t>Starostwa. Po zakończeniu konsultacji społecznych, na stronie internetowej Starostwa, został zamieszczony wykaz uwag, które wpłynęły do Strategii wraz z informacją, że wszystkie uwagi zgłoszone za pośrednictwem formularza zostały uwzględnione w dokumencie.</w:t>
      </w:r>
      <w:r>
        <w:rPr>
          <w:rFonts w:ascii="Garamond" w:hAnsi="Garamond"/>
        </w:rPr>
        <w:t xml:space="preserve">   </w:t>
      </w:r>
    </w:p>
    <w:p w:rsidR="00567C3E" w:rsidRPr="001534A8" w:rsidRDefault="00567C3E" w:rsidP="00567C3E">
      <w:pPr>
        <w:ind w:firstLine="708"/>
        <w:jc w:val="both"/>
        <w:rPr>
          <w:rFonts w:ascii="Garamond" w:hAnsi="Garamond"/>
        </w:rPr>
      </w:pPr>
      <w:r w:rsidRPr="001534A8">
        <w:rPr>
          <w:rFonts w:ascii="Garamond" w:hAnsi="Garamond"/>
        </w:rPr>
        <w:t xml:space="preserve">Na wszystkich etapach pracy nad Strategią Wykonawca pozostawał w stałym kontakcie (spotkania, kontakt mailowy, telefoniczny) z wszystkimi Przedstawicielami Grupy Roboczej ds. Strategii, która składała się z pracowników wszystkich jednostek samorządu terytorialnego tworzących ORSG Powiatu Brodnickiego. </w:t>
      </w:r>
    </w:p>
    <w:p w:rsidR="00567C3E" w:rsidRPr="001534A8" w:rsidRDefault="00567C3E" w:rsidP="00567C3E">
      <w:pPr>
        <w:ind w:firstLine="708"/>
        <w:jc w:val="both"/>
        <w:rPr>
          <w:rFonts w:ascii="Garamond" w:hAnsi="Garamond"/>
        </w:rPr>
      </w:pPr>
      <w:r w:rsidRPr="001534A8">
        <w:rPr>
          <w:rFonts w:ascii="Garamond" w:hAnsi="Garamond" w:cs="A"/>
        </w:rPr>
        <w:t>Dokument został skierowany do Regionalnego Dyrektora Ochrony Środowiska w Bydgoszczy w celu uzgodnienia odstępstwa od przeprowadzenia strategicznej oceny oddziaływania na środowisko.</w:t>
      </w:r>
    </w:p>
    <w:p w:rsidR="00567C3E" w:rsidRPr="001534A8" w:rsidRDefault="00567C3E" w:rsidP="00567C3E">
      <w:pPr>
        <w:ind w:firstLine="708"/>
        <w:jc w:val="both"/>
        <w:rPr>
          <w:rFonts w:ascii="Garamond" w:hAnsi="Garamond"/>
        </w:rPr>
      </w:pPr>
      <w:r w:rsidRPr="001534A8">
        <w:rPr>
          <w:rFonts w:ascii="Garamond" w:hAnsi="Garamond"/>
        </w:rPr>
        <w:t>Gotowa Strategia ma służyć jako skuteczne narzędzie w procesie rozwoju Powiatu. Dzięki powiązaniu jej celów z planowanymi do realizacji działaniami, zapewniona zostanie ich kompleksowość oraz znacznie lepsza efektywność gospodarowania zasobami i środkami finansowymi. Strategia, oprócz wskazania kierunków rozwoju, stanowić ma jeden z instrumentów służących pozyskaniu funduszy unijnych oraz krajowych środków finansowych w perspektywie finansowej 2014 – 2020.</w:t>
      </w:r>
    </w:p>
    <w:p w:rsidR="00567C3E" w:rsidRPr="001534A8" w:rsidRDefault="00567C3E" w:rsidP="00567C3E">
      <w:pPr>
        <w:jc w:val="both"/>
        <w:rPr>
          <w:rFonts w:ascii="Garamond" w:hAnsi="Garamond"/>
          <w:b/>
          <w:color w:val="4F2D7F"/>
          <w:sz w:val="40"/>
        </w:rPr>
      </w:pPr>
    </w:p>
    <w:p w:rsidR="00567C3E" w:rsidRPr="001534A8" w:rsidRDefault="00567C3E" w:rsidP="00567C3E"/>
    <w:p w:rsidR="00567C3E" w:rsidRPr="001534A8" w:rsidRDefault="00567C3E" w:rsidP="00567C3E">
      <w:pPr>
        <w:sectPr w:rsidR="00567C3E" w:rsidRPr="001534A8" w:rsidSect="00567C3E">
          <w:footerReference w:type="default" r:id="rId20"/>
          <w:headerReference w:type="first" r:id="rId21"/>
          <w:pgSz w:w="11906" w:h="16838"/>
          <w:pgMar w:top="1417" w:right="1417" w:bottom="1417" w:left="1417" w:header="708" w:footer="708" w:gutter="0"/>
          <w:cols w:space="708"/>
          <w:titlePg/>
          <w:docGrid w:linePitch="360"/>
        </w:sectPr>
      </w:pPr>
    </w:p>
    <w:p w:rsidR="00567C3E" w:rsidRPr="001534A8" w:rsidRDefault="00567C3E" w:rsidP="00567C3E">
      <w:pPr>
        <w:pStyle w:val="ST2"/>
        <w:spacing w:after="0"/>
        <w:ind w:left="357" w:hanging="357"/>
      </w:pPr>
      <w:bookmarkStart w:id="7" w:name="_Toc415228154"/>
      <w:bookmarkStart w:id="8" w:name="_Toc419705514"/>
      <w:r w:rsidRPr="001534A8">
        <w:lastRenderedPageBreak/>
        <w:t>Diagnoza sytuacji społeczno-gospodarczej ORSG Powiatu Brodnickiego</w:t>
      </w:r>
      <w:bookmarkEnd w:id="7"/>
      <w:bookmarkEnd w:id="8"/>
      <w:r w:rsidRPr="001534A8">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001"/>
      </w:tblGrid>
      <w:tr w:rsidR="00567C3E" w:rsidRPr="001534A8" w:rsidTr="00D32FA7">
        <w:tc>
          <w:tcPr>
            <w:tcW w:w="5211" w:type="dxa"/>
            <w:vAlign w:val="center"/>
          </w:tcPr>
          <w:p w:rsidR="00567C3E" w:rsidRPr="001534A8" w:rsidRDefault="00567C3E" w:rsidP="00D32FA7">
            <w:pPr>
              <w:pStyle w:val="ST3"/>
            </w:pPr>
            <w:bookmarkStart w:id="9" w:name="_Toc415228155"/>
            <w:bookmarkStart w:id="10" w:name="_Toc419705515"/>
            <w:r w:rsidRPr="001534A8">
              <w:t>Podział terytorialny i sytuacja demograficzna</w:t>
            </w:r>
            <w:bookmarkEnd w:id="9"/>
            <w:bookmarkEnd w:id="10"/>
            <w:r w:rsidRPr="001534A8">
              <w:t xml:space="preserve"> </w:t>
            </w:r>
          </w:p>
        </w:tc>
        <w:tc>
          <w:tcPr>
            <w:tcW w:w="4001" w:type="dxa"/>
            <w:vAlign w:val="center"/>
          </w:tcPr>
          <w:p w:rsidR="00567C3E" w:rsidRPr="001534A8" w:rsidRDefault="00567C3E" w:rsidP="00D32FA7">
            <w:pPr>
              <w:jc w:val="center"/>
              <w:rPr>
                <w:rFonts w:ascii="Garamond" w:hAnsi="Garamond" w:cs="Arial"/>
                <w:b/>
                <w:color w:val="824BB0"/>
                <w:sz w:val="28"/>
              </w:rPr>
            </w:pPr>
            <w:r w:rsidRPr="001534A8">
              <w:object w:dxaOrig="240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8.75pt" o:ole="">
                  <v:imagedata r:id="rId22" o:title=""/>
                </v:shape>
                <o:OLEObject Type="Embed" ProgID="PBrush" ShapeID="_x0000_i1025" DrawAspect="Content" ObjectID="_1592972273" r:id="rId23"/>
              </w:object>
            </w:r>
          </w:p>
        </w:tc>
      </w:tr>
    </w:tbl>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Podział terytorialny</w:t>
      </w:r>
    </w:p>
    <w:p w:rsidR="00567C3E" w:rsidRPr="001534A8" w:rsidRDefault="00567C3E" w:rsidP="00567C3E">
      <w:pPr>
        <w:spacing w:after="120"/>
        <w:ind w:firstLine="708"/>
        <w:jc w:val="both"/>
        <w:rPr>
          <w:rFonts w:ascii="Garamond" w:hAnsi="Garamond"/>
        </w:rPr>
      </w:pPr>
      <w:r w:rsidRPr="001534A8">
        <w:rPr>
          <w:rFonts w:ascii="Garamond" w:hAnsi="Garamond"/>
        </w:rPr>
        <w:t xml:space="preserve">W województwie kujawsko-pomorskim terytorialny wymiar polityki rozwoju realizowany na poziomie ponadlokalnym obejmuje miasta powiatowe i ich obszary funkcjonalne. Poziom ten określany jest jako „Obszar Rozwoju Społeczno-Gospodarczego” (ORSG). </w:t>
      </w:r>
    </w:p>
    <w:p w:rsidR="00567C3E" w:rsidRPr="001534A8" w:rsidRDefault="00567C3E" w:rsidP="00567C3E">
      <w:pPr>
        <w:spacing w:before="120" w:after="120"/>
        <w:ind w:firstLine="708"/>
        <w:jc w:val="both"/>
        <w:rPr>
          <w:rFonts w:ascii="Garamond" w:hAnsi="Garamond"/>
        </w:rPr>
      </w:pPr>
      <w:r w:rsidRPr="001534A8">
        <w:rPr>
          <w:rFonts w:ascii="Garamond" w:hAnsi="Garamond"/>
        </w:rPr>
        <w:t>ORSG Powiatu Brodnickiego tworzy 10 gmin, w tym 1 gmina miejska, 2 gminy miejsko-wiejskie i 7 gmin wiejskich oraz Powiat Brodnicki.</w:t>
      </w:r>
    </w:p>
    <w:p w:rsidR="00567C3E" w:rsidRPr="001534A8" w:rsidRDefault="00567C3E" w:rsidP="00567C3E">
      <w:pPr>
        <w:spacing w:after="0"/>
        <w:jc w:val="both"/>
        <w:rPr>
          <w:rFonts w:ascii="Garamond" w:hAnsi="Garamond"/>
        </w:rPr>
      </w:pPr>
      <w:r w:rsidRPr="001534A8">
        <w:rPr>
          <w:rFonts w:ascii="Garamond" w:hAnsi="Garamond"/>
        </w:rPr>
        <w:t>W skład ORSG Powiatu Brodnickiego wchodzą:</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Bartniczka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Bobrowo – gmina 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Brodnica – gmina miejska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Brodnica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Brzozie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Górzno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Jabłonowo Pomorskie – gmina miejsko-wiejska</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Osiek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Świedziebnia – gmina wiejska </w:t>
      </w:r>
    </w:p>
    <w:p w:rsidR="00567C3E" w:rsidRPr="001534A8" w:rsidRDefault="00567C3E" w:rsidP="00567C3E">
      <w:pPr>
        <w:pStyle w:val="Akapitzlist"/>
        <w:numPr>
          <w:ilvl w:val="0"/>
          <w:numId w:val="1"/>
        </w:numPr>
        <w:spacing w:after="120"/>
        <w:jc w:val="both"/>
        <w:rPr>
          <w:rFonts w:ascii="Garamond" w:hAnsi="Garamond"/>
        </w:rPr>
      </w:pPr>
      <w:r w:rsidRPr="001534A8">
        <w:rPr>
          <w:rFonts w:ascii="Garamond" w:hAnsi="Garamond"/>
        </w:rPr>
        <w:t xml:space="preserve">Zbiczno – gmina wiejska </w:t>
      </w:r>
    </w:p>
    <w:p w:rsidR="00567C3E" w:rsidRPr="001534A8" w:rsidRDefault="00567C3E" w:rsidP="00567C3E">
      <w:pPr>
        <w:pStyle w:val="M"/>
      </w:pPr>
      <w:bookmarkStart w:id="11" w:name="_Toc413676917"/>
      <w:r w:rsidRPr="001534A8">
        <w:t>Mapa 1. Gminy wchodzące w skład ORSG Powiatu Brodnickiego</w:t>
      </w:r>
      <w:bookmarkEnd w:id="11"/>
      <w:r w:rsidRPr="001534A8">
        <w:t xml:space="preserve"> </w:t>
      </w:r>
    </w:p>
    <w:p w:rsidR="00567C3E" w:rsidRPr="001534A8" w:rsidRDefault="00567C3E" w:rsidP="00567C3E">
      <w:pPr>
        <w:jc w:val="center"/>
        <w:rPr>
          <w:rFonts w:ascii="Garamond" w:hAnsi="Garamond"/>
          <w:b/>
          <w:sz w:val="28"/>
          <w:szCs w:val="28"/>
        </w:rPr>
      </w:pPr>
      <w:r w:rsidRPr="001534A8">
        <w:rPr>
          <w:rFonts w:ascii="Garamond" w:hAnsi="Garamond"/>
          <w:b/>
          <w:noProof/>
          <w:sz w:val="28"/>
          <w:szCs w:val="28"/>
        </w:rPr>
        <w:drawing>
          <wp:inline distT="0" distB="0" distL="0" distR="0" wp14:anchorId="7877BDBF" wp14:editId="24B731BD">
            <wp:extent cx="3389876" cy="2896819"/>
            <wp:effectExtent l="19050" t="0" r="1024"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392787" cy="2899306"/>
                    </a:xfrm>
                    <a:prstGeom prst="rect">
                      <a:avLst/>
                    </a:prstGeom>
                    <a:noFill/>
                    <a:ln w="9525">
                      <a:noFill/>
                      <a:miter lim="800000"/>
                      <a:headEnd/>
                      <a:tailEnd/>
                    </a:ln>
                  </pic:spPr>
                </pic:pic>
              </a:graphicData>
            </a:graphic>
          </wp:inline>
        </w:drawing>
      </w:r>
    </w:p>
    <w:p w:rsidR="00567C3E" w:rsidRPr="001534A8" w:rsidRDefault="00567C3E" w:rsidP="00567C3E">
      <w:pPr>
        <w:spacing w:after="0"/>
        <w:jc w:val="both"/>
        <w:rPr>
          <w:rFonts w:ascii="Garamond" w:hAnsi="Garamond"/>
          <w:sz w:val="20"/>
          <w:szCs w:val="20"/>
        </w:rPr>
      </w:pPr>
      <w:r w:rsidRPr="001534A8">
        <w:rPr>
          <w:rFonts w:ascii="Garamond" w:hAnsi="Garamond"/>
          <w:sz w:val="20"/>
          <w:szCs w:val="20"/>
        </w:rPr>
        <w:t>Źródło:</w:t>
      </w:r>
      <w:r w:rsidRPr="001534A8">
        <w:rPr>
          <w:rFonts w:ascii="Garamond" w:hAnsi="Garamond"/>
          <w:sz w:val="20"/>
          <w:szCs w:val="20"/>
        </w:rPr>
        <w:tab/>
      </w:r>
      <w:r w:rsidRPr="001534A8">
        <w:rPr>
          <w:rFonts w:ascii="Garamond" w:hAnsi="Garamond"/>
          <w:i/>
          <w:sz w:val="20"/>
          <w:szCs w:val="20"/>
        </w:rPr>
        <w:t>www.brodnica.com.pl</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Powierzchnia ORSG wynosi 1 040 km</w:t>
      </w:r>
      <w:r w:rsidRPr="001534A8">
        <w:rPr>
          <w:rFonts w:ascii="Garamond" w:hAnsi="Garamond"/>
          <w:vertAlign w:val="superscript"/>
        </w:rPr>
        <w:t>2</w:t>
      </w:r>
      <w:r w:rsidRPr="001534A8">
        <w:rPr>
          <w:rFonts w:ascii="Garamond" w:hAnsi="Garamond"/>
        </w:rPr>
        <w:t>. Najmniejszą powierzchnię spoś</w:t>
      </w:r>
      <w:r>
        <w:rPr>
          <w:rFonts w:ascii="Garamond" w:hAnsi="Garamond"/>
        </w:rPr>
        <w:t>ród wszystkich gmin tworzących P</w:t>
      </w:r>
      <w:r w:rsidRPr="001534A8">
        <w:rPr>
          <w:rFonts w:ascii="Garamond" w:hAnsi="Garamond"/>
        </w:rPr>
        <w:t>owiat ma gmina miejska Brodnica (23 km</w:t>
      </w:r>
      <w:r w:rsidRPr="001534A8">
        <w:rPr>
          <w:rFonts w:ascii="Garamond" w:hAnsi="Garamond"/>
          <w:vertAlign w:val="superscript"/>
        </w:rPr>
        <w:t>2</w:t>
      </w:r>
      <w:r w:rsidRPr="001534A8">
        <w:rPr>
          <w:rFonts w:ascii="Garamond" w:hAnsi="Garamond"/>
        </w:rPr>
        <w:t>), a największą gmina Bobrowo (145 km</w:t>
      </w:r>
      <w:r w:rsidRPr="001534A8">
        <w:rPr>
          <w:rFonts w:ascii="Garamond" w:hAnsi="Garamond"/>
          <w:vertAlign w:val="superscript"/>
        </w:rPr>
        <w:t>2</w:t>
      </w:r>
      <w:r w:rsidRPr="001534A8">
        <w:rPr>
          <w:rFonts w:ascii="Garamond" w:hAnsi="Garamond"/>
        </w:rPr>
        <w:t>).</w:t>
      </w:r>
    </w:p>
    <w:p w:rsidR="00567C3E" w:rsidRPr="001534A8" w:rsidRDefault="00567C3E" w:rsidP="00567C3E">
      <w:pPr>
        <w:spacing w:after="0"/>
        <w:jc w:val="both"/>
        <w:rPr>
          <w:rFonts w:ascii="Garamond" w:hAnsi="Garamond"/>
        </w:rPr>
      </w:pPr>
      <w:r w:rsidRPr="001534A8">
        <w:rPr>
          <w:rFonts w:ascii="Garamond" w:hAnsi="Garamond"/>
        </w:rPr>
        <w:t xml:space="preserve">Teren ORSG Powiatu Brodnickiego graniczy z powiatami: </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grudziądzkim, wąbrzeskim, golubsko-dobrzyńskim, rypińskim (województwo kujawsko-pomorski)</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żuromińskim (województwo mazowieckie)</w:t>
      </w:r>
    </w:p>
    <w:p w:rsidR="00567C3E" w:rsidRPr="001534A8" w:rsidRDefault="00567C3E" w:rsidP="00567C3E">
      <w:pPr>
        <w:pStyle w:val="Akapitzlist"/>
        <w:numPr>
          <w:ilvl w:val="0"/>
          <w:numId w:val="3"/>
        </w:numPr>
        <w:jc w:val="both"/>
        <w:rPr>
          <w:rFonts w:ascii="Garamond" w:hAnsi="Garamond"/>
        </w:rPr>
      </w:pPr>
      <w:r w:rsidRPr="001534A8">
        <w:rPr>
          <w:rFonts w:ascii="Garamond" w:hAnsi="Garamond"/>
        </w:rPr>
        <w:t>działdowskim, nowomiejskim (warmińsko-mazurskie)</w:t>
      </w:r>
    </w:p>
    <w:p w:rsidR="00567C3E" w:rsidRPr="001534A8" w:rsidRDefault="00567C3E" w:rsidP="00567C3E">
      <w:pPr>
        <w:pStyle w:val="M"/>
      </w:pPr>
      <w:bookmarkStart w:id="12" w:name="_Toc413676918"/>
      <w:r w:rsidRPr="001534A8">
        <w:t>Mapa 2. ORSG Powiatu Brodnickiego na tle województwa kujawsko-pomorskiego</w:t>
      </w:r>
      <w:bookmarkEnd w:id="12"/>
    </w:p>
    <w:p w:rsidR="00567C3E" w:rsidRPr="001534A8" w:rsidRDefault="00567C3E" w:rsidP="00567C3E">
      <w:pPr>
        <w:ind w:firstLine="709"/>
        <w:jc w:val="center"/>
        <w:rPr>
          <w:rFonts w:ascii="Garamond" w:hAnsi="Garamond"/>
        </w:rPr>
      </w:pPr>
      <w:r w:rsidRPr="001534A8">
        <w:rPr>
          <w:rFonts w:ascii="Garamond" w:hAnsi="Garamond"/>
          <w:noProof/>
        </w:rPr>
        <w:drawing>
          <wp:inline distT="0" distB="0" distL="0" distR="0" wp14:anchorId="22FBE1F9" wp14:editId="3418DDC8">
            <wp:extent cx="3160879" cy="2947735"/>
            <wp:effectExtent l="19050" t="0" r="1421"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3159122" cy="2946096"/>
                    </a:xfrm>
                    <a:prstGeom prst="rect">
                      <a:avLst/>
                    </a:prstGeom>
                    <a:noFill/>
                    <a:ln w="9525">
                      <a:noFill/>
                      <a:miter lim="800000"/>
                      <a:headEnd/>
                      <a:tailEnd/>
                    </a:ln>
                  </pic:spPr>
                </pic:pic>
              </a:graphicData>
            </a:graphic>
          </wp:inline>
        </w:drawing>
      </w:r>
    </w:p>
    <w:p w:rsidR="00567C3E" w:rsidRPr="001534A8" w:rsidRDefault="00567C3E" w:rsidP="00567C3E">
      <w:pPr>
        <w:spacing w:after="120"/>
        <w:rPr>
          <w:rFonts w:ascii="Garamond" w:hAnsi="Garamond"/>
          <w:sz w:val="20"/>
          <w:szCs w:val="20"/>
        </w:rPr>
      </w:pPr>
      <w:r w:rsidRPr="001534A8">
        <w:rPr>
          <w:rFonts w:ascii="Garamond" w:hAnsi="Garamond"/>
          <w:sz w:val="20"/>
          <w:szCs w:val="20"/>
        </w:rPr>
        <w:t xml:space="preserve">Źródło: </w:t>
      </w:r>
      <w:r w:rsidRPr="001534A8">
        <w:rPr>
          <w:rFonts w:ascii="Garamond" w:hAnsi="Garamond"/>
          <w:i/>
          <w:sz w:val="20"/>
          <w:szCs w:val="20"/>
        </w:rPr>
        <w:t>Opracowanie własne na podstawie www.commons.wikimedia.org</w:t>
      </w:r>
    </w:p>
    <w:p w:rsidR="00567C3E" w:rsidRPr="001534A8" w:rsidRDefault="00567C3E" w:rsidP="00567C3E">
      <w:pPr>
        <w:spacing w:after="120"/>
        <w:ind w:firstLine="708"/>
        <w:jc w:val="both"/>
        <w:rPr>
          <w:rFonts w:ascii="Garamond" w:hAnsi="Garamond"/>
        </w:rPr>
      </w:pPr>
      <w:r w:rsidRPr="001534A8">
        <w:rPr>
          <w:rFonts w:ascii="Garamond" w:hAnsi="Garamond"/>
        </w:rPr>
        <w:t>O potencjale danego powiatu w dużej mierze decyduje jego położenie względem strategicznych miast województwa. Odległości pomiędzy centrami gmin wchodzących w skład ORSG Powiatu Brodnickiego, a czterema największymi miastami województwa kujawsko – pomorskiego przedstawia poniższa tabela.</w:t>
      </w:r>
    </w:p>
    <w:p w:rsidR="00567C3E" w:rsidRPr="001534A8" w:rsidRDefault="00567C3E" w:rsidP="00567C3E">
      <w:pPr>
        <w:pStyle w:val="T"/>
      </w:pPr>
      <w:bookmarkStart w:id="13" w:name="_Toc430871984"/>
      <w:r w:rsidRPr="001534A8">
        <w:t>Tabela 2. Odległość gmin ORSG Powiatu Brodnickiego od największych miasta regionu</w:t>
      </w:r>
      <w:bookmarkEnd w:id="13"/>
    </w:p>
    <w:tbl>
      <w:tblPr>
        <w:tblStyle w:val="Tabela-Siatka"/>
        <w:tblW w:w="918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57"/>
        <w:gridCol w:w="1688"/>
        <w:gridCol w:w="1689"/>
        <w:gridCol w:w="1689"/>
        <w:gridCol w:w="1657"/>
      </w:tblGrid>
      <w:tr w:rsidR="00567C3E" w:rsidRPr="001534A8" w:rsidTr="00D32FA7">
        <w:tc>
          <w:tcPr>
            <w:tcW w:w="2457"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688"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Odległość od Bydgoszczy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Torunia w km</w:t>
            </w:r>
          </w:p>
        </w:tc>
        <w:tc>
          <w:tcPr>
            <w:tcW w:w="1689" w:type="dxa"/>
            <w:tcBorders>
              <w:top w:val="nil"/>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Włocławka w km</w:t>
            </w:r>
          </w:p>
        </w:tc>
        <w:tc>
          <w:tcPr>
            <w:tcW w:w="1657" w:type="dxa"/>
            <w:tcBorders>
              <w:top w:val="nil"/>
              <w:left w:val="single" w:sz="4" w:space="0" w:color="FFFFFF" w:themeColor="background1"/>
              <w:bottom w:val="single" w:sz="4" w:space="0" w:color="824BB0"/>
              <w:right w:val="nil"/>
            </w:tcBorders>
            <w:shd w:val="clear" w:color="auto" w:fill="824BB0"/>
          </w:tcPr>
          <w:p w:rsidR="00567C3E" w:rsidRPr="001534A8" w:rsidRDefault="00567C3E" w:rsidP="00D32FA7">
            <w:pPr>
              <w:spacing w:before="40" w:after="40"/>
              <w:jc w:val="center"/>
              <w:rPr>
                <w:rFonts w:ascii="Garamond" w:hAnsi="Garamond"/>
                <w:color w:val="FFFFFF" w:themeColor="background1"/>
                <w:sz w:val="28"/>
                <w:szCs w:val="28"/>
              </w:rPr>
            </w:pPr>
            <w:r w:rsidRPr="001534A8">
              <w:rPr>
                <w:rFonts w:ascii="Garamond" w:hAnsi="Garamond"/>
                <w:color w:val="FFFFFF" w:themeColor="background1"/>
                <w:sz w:val="20"/>
                <w:szCs w:val="20"/>
              </w:rPr>
              <w:t>Odległość od Grudziądza w km</w:t>
            </w:r>
          </w:p>
        </w:tc>
      </w:tr>
      <w:tr w:rsidR="00567C3E" w:rsidRPr="001534A8" w:rsidTr="00D32FA7">
        <w:tc>
          <w:tcPr>
            <w:tcW w:w="2457" w:type="dxa"/>
            <w:tcBorders>
              <w:top w:val="single" w:sz="4" w:space="0" w:color="824BB0"/>
            </w:tcBorders>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688"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142</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80</w:t>
            </w:r>
          </w:p>
        </w:tc>
        <w:tc>
          <w:tcPr>
            <w:tcW w:w="1689"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88</w:t>
            </w:r>
          </w:p>
        </w:tc>
        <w:tc>
          <w:tcPr>
            <w:tcW w:w="1657" w:type="dxa"/>
            <w:tcBorders>
              <w:top w:val="single" w:sz="4" w:space="0" w:color="824BB0"/>
            </w:tcBorders>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115</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82</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76</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148</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110</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83</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136</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69</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141</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77</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71</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w:t>
            </w:r>
          </w:p>
        </w:tc>
      </w:tr>
      <w:tr w:rsidR="00567C3E" w:rsidRPr="001534A8" w:rsidTr="00D32FA7">
        <w:tc>
          <w:tcPr>
            <w:tcW w:w="2457" w:type="dxa"/>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688"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134</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w:t>
            </w:r>
          </w:p>
        </w:tc>
        <w:tc>
          <w:tcPr>
            <w:tcW w:w="1689"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w:t>
            </w:r>
          </w:p>
        </w:tc>
        <w:tc>
          <w:tcPr>
            <w:tcW w:w="1657" w:type="dxa"/>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44</w:t>
            </w:r>
          </w:p>
        </w:tc>
      </w:tr>
    </w:tbl>
    <w:p w:rsidR="00567C3E" w:rsidRPr="001534A8" w:rsidRDefault="00567C3E" w:rsidP="00567C3E">
      <w:pPr>
        <w:spacing w:before="120" w:after="120"/>
        <w:rPr>
          <w:sz w:val="20"/>
        </w:rPr>
      </w:pPr>
      <w:r w:rsidRPr="001534A8">
        <w:rPr>
          <w:rFonts w:ascii="Garamond" w:hAnsi="Garamond"/>
          <w:sz w:val="20"/>
        </w:rPr>
        <w:t xml:space="preserve">Źródło: </w:t>
      </w:r>
      <w:r w:rsidRPr="001534A8">
        <w:rPr>
          <w:rFonts w:ascii="Garamond" w:hAnsi="Garamond"/>
          <w:i/>
          <w:sz w:val="20"/>
        </w:rPr>
        <w:t>Opracowanie własne na podstawie</w:t>
      </w:r>
      <w:r w:rsidRPr="001534A8">
        <w:rPr>
          <w:rFonts w:ascii="Garamond" w:hAnsi="Garamond"/>
          <w:sz w:val="20"/>
        </w:rPr>
        <w:t xml:space="preserve"> </w:t>
      </w:r>
      <w:r w:rsidRPr="001534A8">
        <w:rPr>
          <w:rFonts w:ascii="Garamond" w:hAnsi="Garamond"/>
          <w:i/>
          <w:sz w:val="20"/>
        </w:rPr>
        <w:t>www.odleglosci.info</w:t>
      </w:r>
    </w:p>
    <w:p w:rsidR="00567C3E" w:rsidRPr="001534A8" w:rsidRDefault="00567C3E" w:rsidP="00567C3E">
      <w:pPr>
        <w:spacing w:after="120"/>
        <w:rPr>
          <w:rFonts w:ascii="Garamond" w:hAnsi="Garamond"/>
          <w:b/>
          <w:color w:val="B1059D"/>
          <w:sz w:val="24"/>
          <w:szCs w:val="24"/>
        </w:rPr>
      </w:pPr>
      <w:r w:rsidRPr="001534A8">
        <w:rPr>
          <w:rFonts w:ascii="Garamond" w:hAnsi="Garamond"/>
          <w:b/>
          <w:color w:val="B1059D"/>
          <w:sz w:val="24"/>
          <w:szCs w:val="24"/>
        </w:rPr>
        <w:lastRenderedPageBreak/>
        <w:t>Liczba ludności. Gęstość zaludnienia</w:t>
      </w:r>
    </w:p>
    <w:p w:rsidR="00567C3E" w:rsidRPr="001534A8" w:rsidRDefault="00567C3E" w:rsidP="00567C3E">
      <w:pPr>
        <w:ind w:firstLine="708"/>
        <w:jc w:val="both"/>
        <w:rPr>
          <w:rFonts w:ascii="Garamond" w:hAnsi="Garamond" w:cs="Arial"/>
        </w:rPr>
      </w:pPr>
      <w:r w:rsidRPr="001534A8">
        <w:rPr>
          <w:rFonts w:ascii="Garamond" w:hAnsi="Garamond" w:cs="Arial"/>
        </w:rPr>
        <w:t>Na terenie ORSG w 2013 r. zamieszkiwało ogółem 78 102 osoby. Gęstość zaludnienia obszaru wynosiła 75 osób/km</w:t>
      </w:r>
      <w:r w:rsidRPr="001534A8">
        <w:rPr>
          <w:rFonts w:ascii="Garamond" w:hAnsi="Garamond" w:cs="Arial"/>
          <w:vertAlign w:val="superscript"/>
        </w:rPr>
        <w:t>2</w:t>
      </w:r>
      <w:r w:rsidRPr="001534A8">
        <w:rPr>
          <w:rFonts w:ascii="Garamond" w:hAnsi="Garamond" w:cs="Arial"/>
        </w:rPr>
        <w:t>. Analiza liczby mieszkańców wykazała, że największy odsetek ludności – 36,6% zamieszkiwał w gminie miejskiej Brodnica. Miasto charakteryzowało się również najwyższym wskaźnikiem gęstości zaludnienia – 1 243 osoby/km</w:t>
      </w:r>
      <w:r w:rsidRPr="001534A8">
        <w:rPr>
          <w:rFonts w:ascii="Garamond" w:hAnsi="Garamond" w:cs="Arial"/>
          <w:vertAlign w:val="superscript"/>
        </w:rPr>
        <w:t>2</w:t>
      </w:r>
      <w:r w:rsidRPr="001534A8">
        <w:rPr>
          <w:rFonts w:ascii="Garamond" w:hAnsi="Garamond" w:cs="Arial"/>
        </w:rPr>
        <w:t xml:space="preserve">. Gminą o najniższej liczbie mieszkańców było Brzozie. Odsetek ludności zamieszkującej jego teren wynosił 4,8% ludności całego ORSG. </w:t>
      </w:r>
    </w:p>
    <w:p w:rsidR="00567C3E" w:rsidRPr="001534A8" w:rsidRDefault="00567C3E" w:rsidP="00567C3E">
      <w:pPr>
        <w:pStyle w:val="T"/>
      </w:pPr>
      <w:bookmarkStart w:id="14" w:name="_Toc430871985"/>
      <w:r w:rsidRPr="001534A8">
        <w:t>Tabela 3. Liczba ludności na terenie ORSG Powiatu Brodnickiego</w:t>
      </w:r>
      <w:bookmarkEnd w:id="14"/>
    </w:p>
    <w:tbl>
      <w:tblPr>
        <w:tblStyle w:val="Tabela-Siatka"/>
        <w:tblW w:w="3404" w:type="pct"/>
        <w:jc w:val="center"/>
        <w:tblLook w:val="04A0" w:firstRow="1" w:lastRow="0" w:firstColumn="1" w:lastColumn="0" w:noHBand="0" w:noVBand="1"/>
      </w:tblPr>
      <w:tblGrid>
        <w:gridCol w:w="2211"/>
        <w:gridCol w:w="1407"/>
        <w:gridCol w:w="1223"/>
        <w:gridCol w:w="1482"/>
      </w:tblGrid>
      <w:tr w:rsidR="00567C3E" w:rsidRPr="001534A8" w:rsidTr="00D32FA7">
        <w:trPr>
          <w:trHeight w:val="227"/>
          <w:jc w:val="center"/>
        </w:trPr>
        <w:tc>
          <w:tcPr>
            <w:tcW w:w="1748"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Jednostka terytorialna</w:t>
            </w:r>
          </w:p>
        </w:tc>
        <w:tc>
          <w:tcPr>
            <w:tcW w:w="1113"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Powierzchnia (km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w:t>
            </w:r>
          </w:p>
        </w:tc>
        <w:tc>
          <w:tcPr>
            <w:tcW w:w="967" w:type="pct"/>
            <w:vMerge w:val="restart"/>
            <w:tcBorders>
              <w:top w:val="single" w:sz="4" w:space="0" w:color="824BB0"/>
              <w:left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 xml:space="preserve">Liczba ludności (osób) </w:t>
            </w:r>
          </w:p>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2013 r.</w:t>
            </w:r>
          </w:p>
        </w:tc>
        <w:tc>
          <w:tcPr>
            <w:tcW w:w="1172"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Gęstość zaludnienia</w:t>
            </w:r>
          </w:p>
        </w:tc>
      </w:tr>
      <w:tr w:rsidR="00567C3E" w:rsidRPr="001534A8" w:rsidTr="00D32FA7">
        <w:trPr>
          <w:trHeight w:val="227"/>
          <w:jc w:val="center"/>
        </w:trPr>
        <w:tc>
          <w:tcPr>
            <w:tcW w:w="1748"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13"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967" w:type="pct"/>
            <w:vMerge/>
            <w:tcBorders>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p>
        </w:tc>
        <w:tc>
          <w:tcPr>
            <w:tcW w:w="1172"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 osób/km</w:t>
            </w:r>
            <w:r w:rsidRPr="001534A8">
              <w:rPr>
                <w:rFonts w:ascii="Garamond" w:hAnsi="Garamond" w:cs="Arial"/>
                <w:color w:val="FFFFFF" w:themeColor="background1"/>
                <w:sz w:val="20"/>
                <w:szCs w:val="20"/>
                <w:vertAlign w:val="superscript"/>
              </w:rPr>
              <w:t>2</w:t>
            </w:r>
            <w:r w:rsidRPr="001534A8">
              <w:rPr>
                <w:rFonts w:ascii="Garamond" w:hAnsi="Garamond" w:cs="Arial"/>
                <w:color w:val="FFFFFF" w:themeColor="background1"/>
                <w:sz w:val="20"/>
                <w:szCs w:val="20"/>
              </w:rPr>
              <w:t>) w 2013 r.</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4 714</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145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6 328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44</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23</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28 579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1 243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127</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7 597</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Brzozie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3 766</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3 989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9 073</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67</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4 098</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104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5 209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50</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134</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4 749</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35</w:t>
            </w:r>
          </w:p>
        </w:tc>
      </w:tr>
      <w:tr w:rsidR="00567C3E" w:rsidRPr="001534A8" w:rsidTr="00D32FA7">
        <w:trPr>
          <w:trHeight w:val="227"/>
          <w:jc w:val="center"/>
        </w:trPr>
        <w:tc>
          <w:tcPr>
            <w:tcW w:w="1748"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ORSG</w:t>
            </w:r>
          </w:p>
        </w:tc>
        <w:tc>
          <w:tcPr>
            <w:tcW w:w="111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1 040</w:t>
            </w:r>
          </w:p>
        </w:tc>
        <w:tc>
          <w:tcPr>
            <w:tcW w:w="967"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78 102</w:t>
            </w:r>
          </w:p>
        </w:tc>
        <w:tc>
          <w:tcPr>
            <w:tcW w:w="117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75</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Większość gmin położonych na terenie ORSG cechowała się w latach 2003-2013 dodatnią dynamiką przyrostu liczby ludności. Najwięcej, bo aż 1 430 osób przybyło w tym okresie na terenie gminy wiejskiej Brodnica, gdzie dynamika wyniosła 23,19%. Ujemny wskaźnik przyrostu liczby mieszkańców odnotowano jedynie w gminie Osiek (-0,82%). Bliskie zeru, jednakże dodatnie wartości wykazały wskaźniki dynamiki dla gmin: </w:t>
      </w:r>
      <w:proofErr w:type="spellStart"/>
      <w:r w:rsidRPr="001534A8">
        <w:rPr>
          <w:rFonts w:ascii="Garamond" w:hAnsi="Garamond" w:cs="Arial"/>
        </w:rPr>
        <w:t>Jabłonowo-Pomorskie</w:t>
      </w:r>
      <w:proofErr w:type="spellEnd"/>
      <w:r w:rsidRPr="001534A8">
        <w:rPr>
          <w:rFonts w:ascii="Garamond" w:hAnsi="Garamond" w:cs="Arial"/>
        </w:rPr>
        <w:t>, Świedziebnia i Bobrowo. W analizowanym okresie na terenie ORSG liczba ludności wzrosła o 3 265 osób (4,36%).</w:t>
      </w:r>
    </w:p>
    <w:p w:rsidR="00567C3E" w:rsidRPr="001534A8" w:rsidRDefault="00567C3E" w:rsidP="00567C3E">
      <w:pPr>
        <w:pStyle w:val="T"/>
      </w:pPr>
      <w:bookmarkStart w:id="15" w:name="_Toc430871986"/>
      <w:r w:rsidRPr="001534A8">
        <w:t>Tabela 4. Zmiana liczby ludności na terenie ORSG Powiatu Brodnickiego</w:t>
      </w:r>
      <w:bookmarkEnd w:id="15"/>
    </w:p>
    <w:tbl>
      <w:tblPr>
        <w:tblStyle w:val="Tabela-Siatka"/>
        <w:tblW w:w="6593" w:type="dxa"/>
        <w:jc w:val="center"/>
        <w:tblLook w:val="04A0" w:firstRow="1" w:lastRow="0" w:firstColumn="1" w:lastColumn="0" w:noHBand="0" w:noVBand="1"/>
      </w:tblPr>
      <w:tblGrid>
        <w:gridCol w:w="2268"/>
        <w:gridCol w:w="1640"/>
        <w:gridCol w:w="1551"/>
        <w:gridCol w:w="1134"/>
      </w:tblGrid>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640"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2003 r.</w:t>
            </w:r>
          </w:p>
        </w:tc>
        <w:tc>
          <w:tcPr>
            <w:tcW w:w="1551" w:type="dxa"/>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Liczba ludności 2013 r.</w:t>
            </w:r>
          </w:p>
        </w:tc>
        <w:tc>
          <w:tcPr>
            <w:tcW w:w="1134" w:type="dxa"/>
            <w:tcBorders>
              <w:top w:val="single" w:sz="4" w:space="0" w:color="824BB0"/>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20" w:after="20"/>
              <w:jc w:val="center"/>
              <w:rPr>
                <w:rFonts w:ascii="Garamond" w:hAnsi="Garamond" w:cs="Arial"/>
                <w:color w:val="FFFFFF" w:themeColor="background1"/>
                <w:sz w:val="20"/>
                <w:szCs w:val="20"/>
              </w:rPr>
            </w:pPr>
            <w:r w:rsidRPr="001534A8">
              <w:rPr>
                <w:rFonts w:ascii="Garamond" w:hAnsi="Garamond" w:cs="Arial"/>
                <w:color w:val="FFFFFF" w:themeColor="background1"/>
                <w:sz w:val="20"/>
                <w:szCs w:val="20"/>
              </w:rPr>
              <w:t>Dynamika</w:t>
            </w:r>
          </w:p>
          <w:p w:rsidR="00567C3E" w:rsidRPr="001534A8" w:rsidRDefault="00567C3E" w:rsidP="00D32FA7">
            <w:pPr>
              <w:spacing w:before="20" w:after="20"/>
              <w:jc w:val="center"/>
              <w:rPr>
                <w:rFonts w:ascii="Garamond" w:eastAsia="Times New Roman" w:hAnsi="Garamond" w:cs="Arial"/>
                <w:color w:val="FFFFFF" w:themeColor="background1"/>
                <w:sz w:val="20"/>
                <w:szCs w:val="20"/>
              </w:rPr>
            </w:pPr>
            <w:r w:rsidRPr="001534A8">
              <w:rPr>
                <w:rFonts w:ascii="Garamond" w:hAnsi="Garamond" w:cs="Arial"/>
                <w:color w:val="FFFFFF" w:themeColor="background1"/>
                <w:sz w:val="20"/>
                <w:szCs w:val="20"/>
              </w:rPr>
              <w:t>2003-2013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4 590</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4 714</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2,70%</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6 316</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6 328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27 335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28 579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4,55%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6 167</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7 597</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23,19%</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3 584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3 766</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5,08%</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3 914</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3 989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1,92%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9 041</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9 073</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0,35%</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4 132</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4 098</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-0,82%</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5 193</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5 209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0,31%</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1640"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4 565</w:t>
            </w:r>
          </w:p>
        </w:tc>
        <w:tc>
          <w:tcPr>
            <w:tcW w:w="1551"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4 749</w:t>
            </w:r>
          </w:p>
        </w:tc>
        <w:tc>
          <w:tcPr>
            <w:tcW w:w="1134"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20" w:after="20"/>
              <w:jc w:val="right"/>
              <w:rPr>
                <w:rFonts w:ascii="Garamond" w:eastAsia="Times New Roman" w:hAnsi="Garamond" w:cs="Arial"/>
                <w:sz w:val="20"/>
                <w:szCs w:val="20"/>
              </w:rPr>
            </w:pPr>
            <w:r w:rsidRPr="001534A8">
              <w:rPr>
                <w:rFonts w:ascii="Garamond" w:eastAsia="Times New Roman" w:hAnsi="Garamond" w:cs="Arial"/>
                <w:sz w:val="20"/>
                <w:szCs w:val="20"/>
              </w:rPr>
              <w:t>4,03%</w:t>
            </w:r>
          </w:p>
        </w:tc>
      </w:tr>
      <w:tr w:rsidR="00567C3E" w:rsidRPr="001534A8" w:rsidTr="00D32FA7">
        <w:trPr>
          <w:trHeight w:val="255"/>
          <w:jc w:val="center"/>
        </w:trPr>
        <w:tc>
          <w:tcPr>
            <w:tcW w:w="2268"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640"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74 837</w:t>
            </w:r>
          </w:p>
        </w:tc>
        <w:tc>
          <w:tcPr>
            <w:tcW w:w="1551"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78 102</w:t>
            </w:r>
          </w:p>
        </w:tc>
        <w:tc>
          <w:tcPr>
            <w:tcW w:w="1134" w:type="dxa"/>
            <w:tcBorders>
              <w:top w:val="single" w:sz="4" w:space="0" w:color="824BB0"/>
              <w:left w:val="single" w:sz="4" w:space="0" w:color="824BB0"/>
              <w:bottom w:val="single" w:sz="4" w:space="0" w:color="824BB0"/>
              <w:right w:val="single" w:sz="4" w:space="0" w:color="824BB0"/>
            </w:tcBorders>
            <w:noWrap/>
            <w:vAlign w:val="center"/>
            <w:hideMark/>
          </w:tcPr>
          <w:p w:rsidR="00567C3E" w:rsidRPr="001534A8" w:rsidRDefault="00567C3E" w:rsidP="00D32FA7">
            <w:pPr>
              <w:spacing w:before="20" w:after="20"/>
              <w:jc w:val="right"/>
              <w:rPr>
                <w:rFonts w:ascii="Garamond" w:hAnsi="Garamond"/>
                <w:b/>
                <w:color w:val="000000"/>
                <w:sz w:val="20"/>
                <w:szCs w:val="20"/>
              </w:rPr>
            </w:pPr>
            <w:r w:rsidRPr="001534A8">
              <w:rPr>
                <w:rFonts w:ascii="Garamond" w:hAnsi="Garamond"/>
                <w:b/>
                <w:color w:val="000000"/>
                <w:sz w:val="20"/>
                <w:szCs w:val="20"/>
              </w:rPr>
              <w:t>4,36%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lastRenderedPageBreak/>
        <w:t>Struktura wiekowa ludności</w:t>
      </w:r>
    </w:p>
    <w:p w:rsidR="00567C3E" w:rsidRPr="001534A8" w:rsidRDefault="00567C3E" w:rsidP="00567C3E">
      <w:pPr>
        <w:ind w:firstLine="708"/>
        <w:jc w:val="both"/>
        <w:rPr>
          <w:rFonts w:ascii="Garamond" w:hAnsi="Garamond" w:cs="Arial"/>
        </w:rPr>
      </w:pPr>
      <w:r w:rsidRPr="001534A8">
        <w:rPr>
          <w:rFonts w:ascii="Garamond" w:hAnsi="Garamond" w:cs="Arial"/>
        </w:rPr>
        <w:t xml:space="preserve">W 2013 r. ORSG zamieszkiwało 16 277 osób w wieku przedprodukcyjnym (21%), 49 708 osób w wieku produkcyjnym (64%) i 12 117 osób w wieku poprodukcyjnym (15%). Najwyższym udziałem ludności w wieku przedprodukcyjnym (23,2%), a zarazem jednym z niższych wskaźników udziału mieszkańców w wieku poprodukcyjnym charakteryzuje się gmina Brzozie. Analiza wykazała, że najbardziej niekorzystnymi wartościami wskaźników cechuje się miasto Brodnica, które posiada najniższy udział liczby ludności w wieku przedprodukcyjnym w ogólnej strukturze mieszkańców ze wszystkich gmin ORSG oraz jeden z najwyższych wskaźników udziału ludności w wieku poprodukcyjnym w ogólnej grupie mieszkańców. Analizując strukturę osób w poszczególnych gminach ORSG można zauważyć, że najwyższy udział mieszkańców w wieku produkcyjnym występuje w gminie Zbiczno. Struktura wiekowa na ORSG kształtuje się natomiast korzystniej niż w województwie kujawsko-pomorskim, gdyż udział osób w wieku poprodukcyjnym w ogólnej liczbie mieszkańców obszaru jest niższy, a udział liczby osób w wieku przedprodukcyjnym wyższy niż wskaźniki te dla województwa.  </w:t>
      </w:r>
    </w:p>
    <w:p w:rsidR="00567C3E" w:rsidRPr="001534A8" w:rsidRDefault="00567C3E" w:rsidP="00567C3E">
      <w:pPr>
        <w:pStyle w:val="W"/>
      </w:pPr>
      <w:bookmarkStart w:id="16" w:name="_Toc430868381"/>
      <w:r w:rsidRPr="001534A8">
        <w:t>Wykres 1. Struktura wiekowa ludności na terenie OSGR Powiatu Brodnickiego w 2013 r.</w:t>
      </w:r>
      <w:bookmarkEnd w:id="16"/>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390110B5" wp14:editId="78EABB6E">
            <wp:extent cx="4921857" cy="234563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Analiza Powiatu Brodnickiego w obrębie struktury wiekowej mieszkańców na tle pozostałych 22 powiatów województwa kujawsko-pomorskiego wykazuje, że Powiat ten charakteryzuje się szóstą najmniejszą wartością wskaźnika udziału osób w wieku poprodukcyjnym w ogólnej liczbie mieszkańców. Strukturę wiekową w poszczególnych powiatach województwa obrazuje wykres 2. </w:t>
      </w:r>
    </w:p>
    <w:p w:rsidR="00567C3E" w:rsidRDefault="00567C3E" w:rsidP="00567C3E">
      <w:pPr>
        <w:spacing w:after="120"/>
        <w:ind w:firstLine="709"/>
        <w:jc w:val="both"/>
        <w:rPr>
          <w:rFonts w:ascii="Garamond" w:hAnsi="Garamond" w:cs="Arial"/>
        </w:rPr>
      </w:pPr>
      <w:r w:rsidRPr="00CC0604">
        <w:rPr>
          <w:rFonts w:ascii="Garamond" w:hAnsi="Garamond" w:cs="Arial"/>
        </w:rPr>
        <w:t>Zauważyć należy także, że Powiat Brodnicki wyróżnia się wśród powiatów ziemskich trzecim najwyższym wskaźnikiem dotyczącym odsetka osób niepełnosprawnych w populacji osób w wieku produkcyjnym (37,4%), przewyższającym średnią wojewódzką na poziomie 32,8%.</w:t>
      </w:r>
      <w:r>
        <w:rPr>
          <w:rFonts w:ascii="Garamond" w:hAnsi="Garamond" w:cs="Arial"/>
        </w:rPr>
        <w:t xml:space="preserve"> </w:t>
      </w:r>
    </w:p>
    <w:p w:rsidR="00567C3E" w:rsidRDefault="00567C3E" w:rsidP="00567C3E">
      <w:pPr>
        <w:jc w:val="both"/>
        <w:rPr>
          <w:rFonts w:ascii="Garamond" w:hAnsi="Garamond" w:cs="Arial"/>
        </w:rPr>
        <w:sectPr w:rsidR="00567C3E" w:rsidSect="00D32FA7">
          <w:pgSz w:w="11906" w:h="16838"/>
          <w:pgMar w:top="1417" w:right="1417" w:bottom="1417" w:left="1417" w:header="708" w:footer="708" w:gutter="0"/>
          <w:cols w:space="708"/>
          <w:docGrid w:linePitch="360"/>
        </w:sectPr>
      </w:pPr>
    </w:p>
    <w:p w:rsidR="00567C3E" w:rsidRPr="00EC5E3D" w:rsidRDefault="00567C3E" w:rsidP="00567C3E">
      <w:pPr>
        <w:pStyle w:val="W"/>
      </w:pPr>
      <w:bookmarkStart w:id="17" w:name="_Toc430355779"/>
      <w:bookmarkStart w:id="18" w:name="_Toc430868382"/>
      <w:r w:rsidRPr="00EC5E3D">
        <w:lastRenderedPageBreak/>
        <w:t xml:space="preserve">Wykres 2. Struktura wiekowa ludności w Powiecie </w:t>
      </w:r>
      <w:r>
        <w:t xml:space="preserve">Brodnickim </w:t>
      </w:r>
      <w:r w:rsidRPr="00EC5E3D">
        <w:t>na tle pozostałych powiatów województwa kujawsko-pomorskiego w 2014</w:t>
      </w:r>
      <w:r>
        <w:t xml:space="preserve"> </w:t>
      </w:r>
      <w:r w:rsidRPr="00EC5E3D">
        <w:t>r.</w:t>
      </w:r>
      <w:bookmarkEnd w:id="17"/>
      <w:bookmarkEnd w:id="18"/>
    </w:p>
    <w:p w:rsidR="00567C3E" w:rsidRDefault="00567C3E" w:rsidP="00567C3E">
      <w:pPr>
        <w:jc w:val="center"/>
        <w:rPr>
          <w:rFonts w:cs="Arial"/>
        </w:rPr>
      </w:pPr>
      <w:r w:rsidRPr="00EC5E3D">
        <w:rPr>
          <w:rFonts w:cs="Arial"/>
          <w:noProof/>
          <w:color w:val="B1059D"/>
        </w:rPr>
        <w:drawing>
          <wp:inline distT="0" distB="0" distL="0" distR="0" wp14:anchorId="60255655" wp14:editId="136DDFF6">
            <wp:extent cx="8105775" cy="5000625"/>
            <wp:effectExtent l="0" t="0" r="0" b="0"/>
            <wp:docPr id="4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7C3E" w:rsidRPr="00EC5E3D" w:rsidRDefault="00567C3E" w:rsidP="00567C3E">
      <w:pPr>
        <w:spacing w:after="240"/>
        <w:rPr>
          <w:rFonts w:ascii="Garamond" w:hAnsi="Garamond" w:cs="Arial"/>
          <w:i/>
          <w:sz w:val="20"/>
        </w:rPr>
      </w:pPr>
      <w:r w:rsidRPr="00EC5E3D">
        <w:rPr>
          <w:rFonts w:ascii="Garamond" w:hAnsi="Garamond" w:cs="Arial"/>
          <w:sz w:val="20"/>
        </w:rPr>
        <w:t>Źródło:</w:t>
      </w:r>
      <w:r w:rsidRPr="00EC5E3D">
        <w:rPr>
          <w:rFonts w:ascii="Garamond" w:hAnsi="Garamond" w:cs="Arial"/>
          <w:i/>
          <w:sz w:val="20"/>
        </w:rPr>
        <w:t xml:space="preserve"> Opracowanie własne na podstawie danych GUS.</w:t>
      </w:r>
    </w:p>
    <w:p w:rsidR="00567C3E" w:rsidRDefault="00567C3E" w:rsidP="00567C3E">
      <w:pPr>
        <w:jc w:val="both"/>
        <w:rPr>
          <w:rFonts w:ascii="Garamond" w:hAnsi="Garamond" w:cs="Arial"/>
        </w:rPr>
        <w:sectPr w:rsidR="00567C3E" w:rsidSect="00D32FA7">
          <w:pgSz w:w="16838" w:h="11906" w:orient="landscape"/>
          <w:pgMar w:top="1417" w:right="1417" w:bottom="1417" w:left="1417" w:header="708" w:footer="708" w:gutter="0"/>
          <w:cols w:space="708"/>
          <w:docGrid w:linePitch="360"/>
        </w:sectPr>
      </w:pPr>
    </w:p>
    <w:p w:rsidR="00567C3E" w:rsidRPr="001534A8" w:rsidRDefault="00567C3E" w:rsidP="00567C3E">
      <w:pPr>
        <w:ind w:firstLine="708"/>
        <w:jc w:val="both"/>
        <w:rPr>
          <w:rFonts w:ascii="Garamond" w:hAnsi="Garamond" w:cs="Arial"/>
        </w:rPr>
      </w:pPr>
      <w:r w:rsidRPr="001534A8">
        <w:rPr>
          <w:rFonts w:ascii="Garamond" w:hAnsi="Garamond" w:cs="Arial"/>
        </w:rPr>
        <w:lastRenderedPageBreak/>
        <w:t xml:space="preserve">W latach 2003-2013 na terenie ORSG udział osób w wieku przedprodukcyjnym w ogólnej liczbie ludności zmniejszył się. Zwiększeniu uległ natomiast udział w strukturze mieszkańców wieku produkcyjnym i poprodukcyjnym. Analizując ostatnie lata można zauważyć, że wartość wskaźnika obciążenia demograficznego (będącego stosunkiem liczby osób w wieku nieprodukcyjnym do liczby osób w wieku produkcyjnym) zmniejszył się z poziomu 66 osób w roku 2003 do 57 osób w roku 2013. </w:t>
      </w:r>
    </w:p>
    <w:p w:rsidR="00567C3E" w:rsidRPr="001534A8" w:rsidRDefault="00567C3E" w:rsidP="00567C3E">
      <w:pPr>
        <w:pStyle w:val="T"/>
      </w:pPr>
      <w:bookmarkStart w:id="19" w:name="_Toc430871987"/>
      <w:r w:rsidRPr="001534A8">
        <w:t>Tabela 5. Obciążenie demograficzne i struktura ludności na terenie ORSG Powiatu Brodnickiego</w:t>
      </w:r>
      <w:bookmarkEnd w:id="19"/>
    </w:p>
    <w:tbl>
      <w:tblPr>
        <w:tblStyle w:val="Tabela-Siatka"/>
        <w:tblW w:w="7306" w:type="dxa"/>
        <w:jc w:val="center"/>
        <w:tblLook w:val="04A0" w:firstRow="1" w:lastRow="0" w:firstColumn="1" w:lastColumn="0" w:noHBand="0" w:noVBand="1"/>
      </w:tblPr>
      <w:tblGrid>
        <w:gridCol w:w="2619"/>
        <w:gridCol w:w="893"/>
        <w:gridCol w:w="1427"/>
        <w:gridCol w:w="982"/>
        <w:gridCol w:w="1385"/>
      </w:tblGrid>
      <w:tr w:rsidR="00567C3E" w:rsidRPr="001534A8" w:rsidTr="00D32FA7">
        <w:trPr>
          <w:trHeight w:val="283"/>
          <w:jc w:val="center"/>
        </w:trPr>
        <w:tc>
          <w:tcPr>
            <w:tcW w:w="2619" w:type="dxa"/>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osób w wieku</w:t>
            </w:r>
          </w:p>
        </w:tc>
        <w:tc>
          <w:tcPr>
            <w:tcW w:w="4687" w:type="dxa"/>
            <w:gridSpan w:val="4"/>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Obciążenie demograficzne</w:t>
            </w:r>
          </w:p>
        </w:tc>
      </w:tr>
      <w:tr w:rsidR="00567C3E" w:rsidRPr="001534A8" w:rsidTr="00D32FA7">
        <w:trPr>
          <w:trHeight w:val="283"/>
          <w:jc w:val="center"/>
        </w:trPr>
        <w:tc>
          <w:tcPr>
            <w:tcW w:w="2619" w:type="dxa"/>
            <w:vMerge/>
            <w:tcBorders>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23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2003</w:t>
            </w:r>
          </w:p>
        </w:tc>
        <w:tc>
          <w:tcPr>
            <w:tcW w:w="2367" w:type="dxa"/>
            <w:gridSpan w:val="2"/>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83"/>
          <w:jc w:val="center"/>
        </w:trPr>
        <w:tc>
          <w:tcPr>
            <w:tcW w:w="2619" w:type="dxa"/>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p>
        </w:tc>
        <w:tc>
          <w:tcPr>
            <w:tcW w:w="893"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427"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c>
          <w:tcPr>
            <w:tcW w:w="98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Osób</w:t>
            </w:r>
          </w:p>
        </w:tc>
        <w:tc>
          <w:tcPr>
            <w:tcW w:w="138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Udział w strukturze (%)</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Przedprodukcyjnym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19 374</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26%</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16 277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45 037</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60%</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49 708</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Poprodukcyjnym</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10 426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12 117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15%</w:t>
            </w:r>
          </w:p>
        </w:tc>
      </w:tr>
      <w:tr w:rsidR="00567C3E" w:rsidRPr="001534A8" w:rsidTr="00D32FA7">
        <w:trPr>
          <w:trHeight w:val="283"/>
          <w:jc w:val="center"/>
        </w:trPr>
        <w:tc>
          <w:tcPr>
            <w:tcW w:w="2619"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rPr>
                <w:rFonts w:ascii="Garamond" w:eastAsia="Times New Roman" w:hAnsi="Garamond" w:cs="Arial"/>
                <w:bCs/>
                <w:sz w:val="20"/>
                <w:szCs w:val="20"/>
              </w:rPr>
            </w:pPr>
            <w:r w:rsidRPr="001534A8">
              <w:rPr>
                <w:rFonts w:ascii="Garamond" w:eastAsia="Times New Roman" w:hAnsi="Garamond" w:cs="Arial"/>
                <w:bCs/>
                <w:sz w:val="20"/>
                <w:szCs w:val="20"/>
              </w:rPr>
              <w:t>Obciążenie demograficzne</w:t>
            </w:r>
          </w:p>
        </w:tc>
        <w:tc>
          <w:tcPr>
            <w:tcW w:w="893"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66</w:t>
            </w:r>
          </w:p>
        </w:tc>
        <w:tc>
          <w:tcPr>
            <w:tcW w:w="1427"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c>
          <w:tcPr>
            <w:tcW w:w="982"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Cs/>
                <w:sz w:val="20"/>
                <w:szCs w:val="20"/>
              </w:rPr>
            </w:pPr>
            <w:r w:rsidRPr="001534A8">
              <w:rPr>
                <w:rFonts w:ascii="Garamond" w:eastAsia="Times New Roman" w:hAnsi="Garamond" w:cs="Arial"/>
                <w:bCs/>
                <w:sz w:val="20"/>
                <w:szCs w:val="20"/>
              </w:rPr>
              <w:t>57</w:t>
            </w:r>
          </w:p>
        </w:tc>
        <w:tc>
          <w:tcPr>
            <w:tcW w:w="1385" w:type="dxa"/>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Najwyższym wskaźnikiem obciążenia demograficznego na terenie ORSG charakteryzuje się gmina Brzozie, najniższym zaś gmina wiejska Brodnica. Wartość wskaźnika jest taka sama dla całego ORSG i województwa kujawsko pomorskiego – wynosi 57.  </w:t>
      </w:r>
    </w:p>
    <w:p w:rsidR="00567C3E" w:rsidRPr="001534A8" w:rsidRDefault="00567C3E" w:rsidP="00567C3E">
      <w:pPr>
        <w:pStyle w:val="T"/>
      </w:pPr>
      <w:bookmarkStart w:id="20" w:name="_Toc430871988"/>
      <w:r w:rsidRPr="001534A8">
        <w:t>Tabela 6. Obciążenie demograficzne w gminach ORSG Powiatu Brodnickiego</w:t>
      </w:r>
      <w:bookmarkEnd w:id="20"/>
    </w:p>
    <w:tbl>
      <w:tblPr>
        <w:tblStyle w:val="Tabela-Siatka"/>
        <w:tblW w:w="2702" w:type="pct"/>
        <w:jc w:val="center"/>
        <w:tblLook w:val="04A0" w:firstRow="1" w:lastRow="0" w:firstColumn="1" w:lastColumn="0" w:noHBand="0" w:noVBand="1"/>
      </w:tblPr>
      <w:tblGrid>
        <w:gridCol w:w="2408"/>
        <w:gridCol w:w="2611"/>
      </w:tblGrid>
      <w:tr w:rsidR="00567C3E" w:rsidRPr="001534A8" w:rsidTr="00D32FA7">
        <w:trPr>
          <w:trHeight w:val="283"/>
          <w:jc w:val="center"/>
        </w:trPr>
        <w:tc>
          <w:tcPr>
            <w:tcW w:w="2399"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2601"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Obciążenie demograficzne</w:t>
            </w:r>
          </w:p>
        </w:tc>
      </w:tr>
      <w:tr w:rsidR="00567C3E" w:rsidRPr="001534A8" w:rsidTr="00D32FA7">
        <w:trPr>
          <w:trHeight w:val="283"/>
          <w:jc w:val="center"/>
        </w:trPr>
        <w:tc>
          <w:tcPr>
            <w:tcW w:w="2399" w:type="pct"/>
            <w:vMerge/>
            <w:tcBorders>
              <w:left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2013</w:t>
            </w:r>
          </w:p>
        </w:tc>
      </w:tr>
      <w:tr w:rsidR="00567C3E" w:rsidRPr="001534A8" w:rsidTr="00D32FA7">
        <w:trPr>
          <w:trHeight w:val="283"/>
          <w:jc w:val="center"/>
        </w:trPr>
        <w:tc>
          <w:tcPr>
            <w:tcW w:w="2399" w:type="pct"/>
            <w:vMerge/>
            <w:tcBorders>
              <w:left w:val="single" w:sz="4" w:space="0" w:color="824BB0"/>
              <w:bottom w:val="single" w:sz="4" w:space="0" w:color="824BB0"/>
              <w:right w:val="single" w:sz="4" w:space="0" w:color="FFFFFF" w:themeColor="background1"/>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p>
        </w:tc>
        <w:tc>
          <w:tcPr>
            <w:tcW w:w="2601"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w wieku nieprodukcyjnym przypadająca na 100 osób w wieku produkcyjnym</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g. m. </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Brodnica g. w.</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52</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61</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58</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60</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59</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55</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ORSG</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r w:rsidR="00567C3E" w:rsidRPr="001534A8" w:rsidTr="00D32FA7">
        <w:trPr>
          <w:trHeight w:val="283"/>
          <w:jc w:val="center"/>
        </w:trPr>
        <w:tc>
          <w:tcPr>
            <w:tcW w:w="2399"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Kujawsko-Pomorskie</w:t>
            </w:r>
          </w:p>
        </w:tc>
        <w:tc>
          <w:tcPr>
            <w:tcW w:w="2601"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57</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Struktura ludności ze względu na płeć</w:t>
      </w:r>
    </w:p>
    <w:p w:rsidR="00567C3E" w:rsidRPr="001534A8" w:rsidRDefault="00567C3E" w:rsidP="00567C3E">
      <w:pPr>
        <w:ind w:firstLine="708"/>
        <w:jc w:val="both"/>
        <w:rPr>
          <w:rFonts w:ascii="Garamond" w:hAnsi="Garamond" w:cs="Arial"/>
        </w:rPr>
      </w:pPr>
      <w:r w:rsidRPr="001534A8">
        <w:rPr>
          <w:rFonts w:ascii="Garamond" w:hAnsi="Garamond" w:cs="Arial"/>
        </w:rPr>
        <w:t xml:space="preserve">Analiza struktury ludności ORSG ze względu na płeć wykazała, że teren zamieszkuje 38 632 mężczyzn (49,5%) i 39 470 kobiet (50,5%). Nadwyżka kobiet występuje w przedziale wiekowym powyżej 60 roku życia. W pozostałych grupach wiekowych przeważają mężczyźni. </w:t>
      </w:r>
    </w:p>
    <w:p w:rsidR="00567C3E" w:rsidRPr="001534A8" w:rsidRDefault="00567C3E" w:rsidP="00567C3E">
      <w:pPr>
        <w:pStyle w:val="W"/>
      </w:pPr>
      <w:bookmarkStart w:id="21" w:name="_Toc430868383"/>
      <w:r w:rsidRPr="001534A8">
        <w:lastRenderedPageBreak/>
        <w:t xml:space="preserve">Wykres </w:t>
      </w:r>
      <w:r>
        <w:t>3</w:t>
      </w:r>
      <w:r w:rsidRPr="001534A8">
        <w:t>. Struktura płci i wieku ludności na terenie ORSG Powiatu Brodnickiego w 2013 r.</w:t>
      </w:r>
      <w:bookmarkEnd w:id="21"/>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7935951D" wp14:editId="17A674F2">
            <wp:extent cx="4572000" cy="2605178"/>
            <wp:effectExtent l="0" t="0" r="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Ruch naturalny ludności</w:t>
      </w:r>
    </w:p>
    <w:p w:rsidR="00567C3E" w:rsidRPr="001534A8" w:rsidRDefault="00567C3E" w:rsidP="00567C3E">
      <w:pPr>
        <w:spacing w:after="120"/>
        <w:ind w:firstLine="708"/>
        <w:jc w:val="both"/>
        <w:rPr>
          <w:rFonts w:ascii="Garamond" w:hAnsi="Garamond" w:cs="Arial"/>
          <w:szCs w:val="24"/>
        </w:rPr>
      </w:pPr>
      <w:r w:rsidRPr="001534A8">
        <w:rPr>
          <w:rFonts w:ascii="Garamond" w:hAnsi="Garamond" w:cs="Arial"/>
          <w:szCs w:val="24"/>
        </w:rPr>
        <w:t xml:space="preserve">Na terenie ORSG w latach 2009-2013 utrzymywał się dodatni przyrost naturalny – liczba urodzeń przewyższała liczbę zgonów. Podobnie sytuacja kształtowała się w województwie kujawsko-pomorskim oraz w kraju. </w:t>
      </w:r>
    </w:p>
    <w:p w:rsidR="00567C3E" w:rsidRPr="001534A8" w:rsidRDefault="00567C3E" w:rsidP="00567C3E">
      <w:pPr>
        <w:pStyle w:val="W"/>
        <w:jc w:val="both"/>
      </w:pPr>
      <w:bookmarkStart w:id="22" w:name="_Toc430868384"/>
      <w:r w:rsidRPr="001534A8">
        <w:t xml:space="preserve">Wykres </w:t>
      </w:r>
      <w:r>
        <w:t>4</w:t>
      </w:r>
      <w:r w:rsidRPr="001534A8">
        <w:t>. Liczba urodzeń oraz zgonów na terenie ORSG Powiatu Brodnickiego</w:t>
      </w:r>
      <w:bookmarkEnd w:id="22"/>
      <w:r w:rsidRPr="001534A8">
        <w:t xml:space="preserve"> </w:t>
      </w:r>
    </w:p>
    <w:p w:rsidR="00567C3E" w:rsidRPr="001534A8" w:rsidRDefault="00567C3E" w:rsidP="00567C3E">
      <w:pPr>
        <w:spacing w:after="120"/>
        <w:jc w:val="center"/>
        <w:rPr>
          <w:rFonts w:ascii="Garamond" w:hAnsi="Garamond" w:cs="Arial"/>
          <w:szCs w:val="24"/>
        </w:rPr>
      </w:pPr>
      <w:r w:rsidRPr="001534A8">
        <w:rPr>
          <w:rFonts w:ascii="Garamond" w:hAnsi="Garamond" w:cs="Arial"/>
          <w:noProof/>
          <w:szCs w:val="24"/>
        </w:rPr>
        <w:drawing>
          <wp:inline distT="0" distB="0" distL="0" distR="0" wp14:anchorId="67E121AF" wp14:editId="42D61223">
            <wp:extent cx="3894083" cy="2002221"/>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after="120"/>
        <w:jc w:val="both"/>
        <w:rPr>
          <w:rFonts w:ascii="Garamond" w:hAnsi="Garamond" w:cs="Arial"/>
          <w:b/>
          <w:color w:val="B1059D"/>
          <w:sz w:val="24"/>
          <w:szCs w:val="24"/>
        </w:rPr>
      </w:pPr>
      <w:r w:rsidRPr="001534A8">
        <w:rPr>
          <w:rFonts w:ascii="Garamond" w:hAnsi="Garamond" w:cs="Arial"/>
          <w:b/>
          <w:color w:val="B1059D"/>
          <w:sz w:val="24"/>
          <w:szCs w:val="24"/>
        </w:rPr>
        <w:t>Migracje ludności</w:t>
      </w:r>
    </w:p>
    <w:p w:rsidR="00567C3E" w:rsidRPr="001534A8" w:rsidRDefault="00567C3E" w:rsidP="00567C3E">
      <w:pPr>
        <w:spacing w:before="120" w:after="120"/>
        <w:ind w:firstLine="709"/>
        <w:jc w:val="both"/>
        <w:rPr>
          <w:rFonts w:ascii="Garamond" w:hAnsi="Garamond" w:cs="Arial"/>
          <w:sz w:val="2"/>
          <w:szCs w:val="24"/>
        </w:rPr>
      </w:pPr>
      <w:r w:rsidRPr="001534A8">
        <w:rPr>
          <w:rFonts w:ascii="Garamond" w:hAnsi="Garamond" w:cs="Arial"/>
          <w:szCs w:val="24"/>
        </w:rPr>
        <w:t xml:space="preserve">W 2013 r. na terenie ORSG zameldowało się 410 osób, w tym 225 osób z miast i 185 ze wsi. W tym samym roku wymeldowało się ogółem 451 osób. W latach 2009-2013 wartość salda migracji wahała się, przyjmując w 2013 r. wartość ujemną (-41 osób). Przyrost rzeczywisty (suma przyrostu naturalnego i salda migracji) w tym roku był jednak dodatni i wynosił 122 osoby. </w:t>
      </w:r>
      <w:r w:rsidRPr="001534A8">
        <w:rPr>
          <w:rFonts w:ascii="Garamond" w:hAnsi="Garamond" w:cs="Arial"/>
          <w:szCs w:val="24"/>
        </w:rPr>
        <w:cr/>
      </w:r>
    </w:p>
    <w:p w:rsidR="00567C3E" w:rsidRDefault="00567C3E" w:rsidP="00567C3E">
      <w:pPr>
        <w:pStyle w:val="W"/>
        <w:jc w:val="both"/>
      </w:pPr>
      <w:bookmarkStart w:id="23" w:name="_Toc430868385"/>
    </w:p>
    <w:p w:rsidR="00567C3E" w:rsidRDefault="00567C3E" w:rsidP="00567C3E">
      <w:pPr>
        <w:pStyle w:val="W"/>
        <w:jc w:val="both"/>
      </w:pPr>
    </w:p>
    <w:p w:rsidR="00567C3E" w:rsidRDefault="00567C3E" w:rsidP="00567C3E">
      <w:pPr>
        <w:pStyle w:val="W"/>
        <w:jc w:val="both"/>
      </w:pPr>
    </w:p>
    <w:p w:rsidR="00567C3E" w:rsidRDefault="00567C3E" w:rsidP="00567C3E">
      <w:pPr>
        <w:pStyle w:val="W"/>
        <w:jc w:val="both"/>
      </w:pPr>
    </w:p>
    <w:p w:rsidR="00567C3E" w:rsidRPr="001534A8" w:rsidRDefault="00567C3E" w:rsidP="00567C3E">
      <w:pPr>
        <w:pStyle w:val="W"/>
        <w:jc w:val="both"/>
      </w:pPr>
      <w:r w:rsidRPr="001534A8">
        <w:lastRenderedPageBreak/>
        <w:t xml:space="preserve">Wykres </w:t>
      </w:r>
      <w:r>
        <w:t>5</w:t>
      </w:r>
      <w:r w:rsidRPr="001534A8">
        <w:t xml:space="preserve">. Migracje </w:t>
      </w:r>
      <w:proofErr w:type="spellStart"/>
      <w:r w:rsidRPr="001534A8">
        <w:t>międzypowiatowe</w:t>
      </w:r>
      <w:proofErr w:type="spellEnd"/>
      <w:r w:rsidRPr="001534A8">
        <w:t xml:space="preserve"> na pobyt stały na terenie ORSG Powiatu Brodnickiego</w:t>
      </w:r>
      <w:bookmarkEnd w:id="23"/>
      <w:r w:rsidRPr="001534A8">
        <w:t xml:space="preserve"> </w:t>
      </w:r>
    </w:p>
    <w:p w:rsidR="00567C3E" w:rsidRPr="001534A8" w:rsidRDefault="00567C3E" w:rsidP="00567C3E">
      <w:pPr>
        <w:jc w:val="center"/>
        <w:rPr>
          <w:rFonts w:ascii="Garamond" w:hAnsi="Garamond" w:cs="Arial"/>
          <w:b/>
          <w:color w:val="B1059D"/>
          <w:sz w:val="24"/>
          <w:szCs w:val="24"/>
        </w:rPr>
      </w:pPr>
      <w:r w:rsidRPr="001534A8">
        <w:rPr>
          <w:rFonts w:ascii="Garamond" w:hAnsi="Garamond" w:cs="Arial"/>
          <w:b/>
          <w:noProof/>
          <w:color w:val="B1059D"/>
          <w:sz w:val="24"/>
          <w:szCs w:val="24"/>
        </w:rPr>
        <w:drawing>
          <wp:inline distT="0" distB="0" distL="0" distR="0" wp14:anchorId="2982A135" wp14:editId="136F3597">
            <wp:extent cx="3972911" cy="2207173"/>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C3E" w:rsidRPr="001534A8" w:rsidRDefault="00567C3E" w:rsidP="00567C3E">
      <w:pPr>
        <w:spacing w:before="120" w:after="120"/>
        <w:rPr>
          <w:rFonts w:ascii="Garamond" w:hAnsi="Garamond" w:cs="Arial"/>
          <w:i/>
          <w:sz w:val="20"/>
        </w:rPr>
      </w:pPr>
      <w:r w:rsidRPr="001534A8">
        <w:rPr>
          <w:rFonts w:ascii="Garamond" w:hAnsi="Garamond" w:cs="Arial"/>
          <w:sz w:val="20"/>
        </w:rPr>
        <w:t xml:space="preserve">Źródło: </w:t>
      </w:r>
      <w:r w:rsidRPr="001534A8">
        <w:rPr>
          <w:rFonts w:ascii="Garamond" w:hAnsi="Garamond" w:cs="Arial"/>
          <w:i/>
          <w:sz w:val="20"/>
        </w:rPr>
        <w:t>Opracowanie własne na podstawie danych GUS.</w:t>
      </w:r>
    </w:p>
    <w:p w:rsidR="00567C3E" w:rsidRPr="001534A8" w:rsidRDefault="00567C3E" w:rsidP="00567C3E">
      <w:pPr>
        <w:spacing w:before="240" w:after="240"/>
        <w:jc w:val="both"/>
        <w:rPr>
          <w:rFonts w:ascii="Garamond" w:hAnsi="Garamond" w:cs="Arial"/>
          <w:color w:val="B1059D"/>
        </w:rPr>
      </w:pPr>
      <w:r w:rsidRPr="001534A8">
        <w:rPr>
          <w:rFonts w:ascii="Garamond" w:hAnsi="Garamond" w:cs="Arial"/>
          <w:b/>
          <w:color w:val="B1059D"/>
          <w:sz w:val="24"/>
          <w:szCs w:val="24"/>
        </w:rPr>
        <w:t>Prognoza liczby ludności</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Prognozy ludności wskazują, że do roku 2035 liczba mieszkańców na terenie ORSG zmniejszy się o 0,3%. Najbardziej widoczny spadek ludności dostrzegać się będzie w grupie mieszkańców w wieku przedprodukcyjnym, gdzie liczba mężczyzn zmniejszy się o 18,7%, a kobiet o 15,7%. Spadek liczebności odnotuje także grupa osób w wieku produkcyjnym (2%). </w:t>
      </w:r>
    </w:p>
    <w:p w:rsidR="00567C3E" w:rsidRDefault="00567C3E" w:rsidP="00567C3E">
      <w:pPr>
        <w:ind w:firstLine="708"/>
        <w:jc w:val="both"/>
        <w:rPr>
          <w:rFonts w:ascii="Garamond" w:hAnsi="Garamond" w:cs="Arial"/>
        </w:rPr>
      </w:pPr>
      <w:r w:rsidRPr="00CC0604">
        <w:rPr>
          <w:rFonts w:ascii="Garamond" w:hAnsi="Garamond" w:cs="Arial"/>
        </w:rPr>
        <w:t xml:space="preserve">Powszechnie występujący trend „starzenia się” społeczeństwa wyrażający się większym udziałem osób starszych w liczbie mieszkańców wpłynie również na strukturę demograficzną ORSG. Dynamika przyrostu osób w wieku poprodukcyjnym w latach 2014-2035 wyniesie dla mężczyzn aż 69%, natomiast dla kobiet 8%. </w:t>
      </w:r>
      <w:r>
        <w:rPr>
          <w:rFonts w:ascii="Garamond" w:hAnsi="Garamond" w:cs="Arial"/>
        </w:rPr>
        <w:t>Należy także zauważyć, że P</w:t>
      </w:r>
      <w:r w:rsidRPr="00CC0604">
        <w:rPr>
          <w:rFonts w:ascii="Garamond" w:hAnsi="Garamond" w:cs="Arial"/>
        </w:rPr>
        <w:t>owiat wyróżnia się dość wysoką wartością wskaźnika udziału osób sędziwych (80+) w populacji osób w wieku poprodukcyjnym – jest to piąta najwyższa wartość wskaźnika wśród powiatów ziemskich (21,5%), przewyższająca średnią dla województwa na poziomie 19,8%.</w:t>
      </w:r>
    </w:p>
    <w:p w:rsidR="00567C3E" w:rsidRPr="001534A8" w:rsidRDefault="00567C3E" w:rsidP="00567C3E">
      <w:pPr>
        <w:pStyle w:val="T"/>
      </w:pPr>
      <w:bookmarkStart w:id="24" w:name="_Toc430871989"/>
      <w:r w:rsidRPr="001534A8">
        <w:t xml:space="preserve">Tabela 7. Prognoza liczby ludności </w:t>
      </w:r>
      <w:r>
        <w:t>w poszczególnych powiatach województwa kujawsko-pomorskiego</w:t>
      </w:r>
      <w:bookmarkEnd w:id="24"/>
    </w:p>
    <w:tbl>
      <w:tblPr>
        <w:tblW w:w="0" w:type="auto"/>
        <w:tblInd w:w="108" w:type="dxa"/>
        <w:tblLook w:val="04A0" w:firstRow="1" w:lastRow="0" w:firstColumn="1" w:lastColumn="0" w:noHBand="0" w:noVBand="1"/>
      </w:tblPr>
      <w:tblGrid>
        <w:gridCol w:w="2204"/>
        <w:gridCol w:w="1249"/>
        <w:gridCol w:w="1072"/>
        <w:gridCol w:w="1249"/>
        <w:gridCol w:w="1072"/>
        <w:gridCol w:w="1167"/>
        <w:gridCol w:w="1059"/>
      </w:tblGrid>
      <w:tr w:rsidR="00567C3E" w:rsidRPr="004713F3" w:rsidTr="00D32FA7">
        <w:tc>
          <w:tcPr>
            <w:tcW w:w="2204" w:type="dxa"/>
            <w:vMerge w:val="restar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Liczba osób w wieku</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2014</w:t>
            </w:r>
          </w:p>
        </w:tc>
        <w:tc>
          <w:tcPr>
            <w:tcW w:w="2321" w:type="dxa"/>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2035</w:t>
            </w:r>
          </w:p>
        </w:tc>
        <w:tc>
          <w:tcPr>
            <w:tcW w:w="2226" w:type="dxa"/>
            <w:gridSpan w:val="2"/>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Dynamika</w:t>
            </w:r>
          </w:p>
        </w:tc>
      </w:tr>
      <w:tr w:rsidR="00567C3E" w:rsidRPr="004713F3" w:rsidTr="00D32FA7">
        <w:tc>
          <w:tcPr>
            <w:tcW w:w="2204" w:type="dxa"/>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2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c>
          <w:tcPr>
            <w:tcW w:w="11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mężczyźni</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kobiety</w:t>
            </w:r>
          </w:p>
        </w:tc>
      </w:tr>
      <w:tr w:rsidR="00567C3E" w:rsidRPr="004713F3" w:rsidTr="00D32FA7">
        <w:tc>
          <w:tcPr>
            <w:tcW w:w="9072" w:type="dxa"/>
            <w:gridSpan w:val="7"/>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bydgoski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12027</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11220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38080</w:t>
            </w:r>
          </w:p>
        </w:tc>
        <w:tc>
          <w:tcPr>
            <w:tcW w:w="1072" w:type="dxa"/>
            <w:tcBorders>
              <w:top w:val="single" w:sz="4" w:space="0" w:color="824BB0"/>
              <w:left w:val="single" w:sz="4" w:space="0" w:color="824BB0"/>
              <w:bottom w:val="single" w:sz="4" w:space="0" w:color="824BB0"/>
              <w:right w:val="single" w:sz="4" w:space="0" w:color="auto"/>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34110</w:t>
            </w:r>
          </w:p>
        </w:tc>
        <w:tc>
          <w:tcPr>
            <w:tcW w:w="1249" w:type="dxa"/>
            <w:tcBorders>
              <w:top w:val="single" w:sz="4" w:space="0" w:color="824BB0"/>
              <w:left w:val="single" w:sz="4" w:space="0" w:color="auto"/>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44578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43503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17,06%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5222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11075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10025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14498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91,98%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30,91%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toruński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11378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10817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11483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31164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39357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9732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8823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95,85%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Bydgoszcz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27215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21233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20207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114581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92152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93101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24805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55189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28827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48901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16,21%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-11,39%</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Toruń</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16953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16428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lastRenderedPageBreak/>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65147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63437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54509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57114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28932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27608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26,37%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b/>
                <w:color w:val="FFFFFF" w:themeColor="background1"/>
                <w:sz w:val="20"/>
                <w:szCs w:val="20"/>
              </w:rPr>
            </w:pPr>
            <w:r w:rsidRPr="004713F3">
              <w:rPr>
                <w:rFonts w:ascii="Garamond" w:hAnsi="Garamond" w:cs="Arial"/>
                <w:b/>
                <w:color w:val="FFFFFF" w:themeColor="background1"/>
                <w:sz w:val="20"/>
                <w:szCs w:val="20"/>
              </w:rPr>
              <w:t>Powiat brodnicki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8394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7762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-18,68%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-15,68%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26590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23086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25462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23849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-4,24%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3,31%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b/>
                <w:sz w:val="20"/>
                <w:szCs w:val="20"/>
              </w:rPr>
            </w:pPr>
            <w:r w:rsidRPr="004713F3">
              <w:rPr>
                <w:rFonts w:ascii="Garamond" w:hAnsi="Garamond" w:cs="Arial"/>
                <w:b/>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3881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8684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6556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9397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68,93%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b/>
                <w:sz w:val="20"/>
                <w:szCs w:val="20"/>
              </w:rPr>
            </w:pPr>
            <w:r w:rsidRPr="004713F3">
              <w:rPr>
                <w:rFonts w:ascii="Garamond" w:hAnsi="Garamond" w:cs="Arial"/>
                <w:b/>
                <w:sz w:val="20"/>
                <w:szCs w:val="20"/>
              </w:rPr>
              <w:t>8,21%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chełmiński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5323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-28,72%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17793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15737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15836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14809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2689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golubsko-dobrzyński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4690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4420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4050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13212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5135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grudziądzki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3048</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-26,40%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11885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11470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-9,14%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4616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sępoleński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4078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3582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-18,20%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-17,51%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12051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11534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-12,87%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3493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4905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świecki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9944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9545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8081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-18,73%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-21,69%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34030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29789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29372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5239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8641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12676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64,94%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12,13%</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tucholski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5218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4847</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3804</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-24,57%</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-21,52%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16469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14151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14934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13729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4368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77,92%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13,64%</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wąbrzeski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3315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2601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-24,52%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-26,94%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11855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9266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-12,35%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-9,33%</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4157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59,46%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Grudziądz</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8740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-30,40%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31661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-14,42%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5861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13874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8440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13790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44,00%</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-0,61%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aleksandrowski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4842</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4040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-21,86%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-22,28%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18571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16393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16586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15300</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7524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inowrocławski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13748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10326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9845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-28,39%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49286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45677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98,77%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-13,55%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20951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14210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336,83%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lastRenderedPageBreak/>
              <w:t>Powiat lipnowski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shd w:val="clear" w:color="auto" w:fill="auto"/>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7108</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6678</w:t>
            </w:r>
          </w:p>
        </w:tc>
        <w:tc>
          <w:tcPr>
            <w:tcW w:w="124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5442</w:t>
            </w:r>
          </w:p>
        </w:tc>
        <w:tc>
          <w:tcPr>
            <w:tcW w:w="1072"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5028</w:t>
            </w:r>
          </w:p>
        </w:tc>
        <w:tc>
          <w:tcPr>
            <w:tcW w:w="1167"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-23,44%</w:t>
            </w:r>
          </w:p>
        </w:tc>
        <w:tc>
          <w:tcPr>
            <w:tcW w:w="1059" w:type="dxa"/>
            <w:tcBorders>
              <w:top w:val="single" w:sz="4" w:space="0" w:color="824BB0"/>
              <w:left w:val="single" w:sz="4" w:space="0" w:color="824BB0"/>
              <w:bottom w:val="single" w:sz="4" w:space="0" w:color="824BB0"/>
              <w:right w:val="single" w:sz="4" w:space="0" w:color="824BB0"/>
            </w:tcBorders>
            <w:shd w:val="clear" w:color="auto" w:fill="auto"/>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22980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19593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20918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18663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-4,75%</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3253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7429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5508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69,32%</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6,37%</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mogileński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4271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3185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2954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-30,84%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15724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13819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13418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12509</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-14,67%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-9,48%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5631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3936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5902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54,66%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4,81%</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nakielski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8526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7159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6621</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-22,34%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29700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25841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27380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24907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4370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9507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7195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10672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12,25%</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radziejowski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3691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3610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2781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-24,24%</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14342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12103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11498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10252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-19,83%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-15,29%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5246</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3720</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5287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47,74%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0,78%</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rypiński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4608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4264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3443</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3306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-25,28%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-22,47%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15004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12947</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13119</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11835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-12,56%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-8,59%</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5365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3857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5483</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56,53%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włocławski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8206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7904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6218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5697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-24,23%</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-27,92%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29987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25433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26574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24334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-11,38%</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-4,32%</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4831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10448</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7937</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11046</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64,29%</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5,72%</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żniński</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6956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6570</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5345</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5185</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-23,16%</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-21,08%</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23951</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20814</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20796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19627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-13,17%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-5,70%</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4062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8343</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6104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8994</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50,27%</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7,80%</w:t>
            </w:r>
          </w:p>
        </w:tc>
      </w:tr>
      <w:tr w:rsidR="00567C3E" w:rsidRPr="004713F3" w:rsidTr="00D32FA7">
        <w:tc>
          <w:tcPr>
            <w:tcW w:w="9072"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4713F3" w:rsidRDefault="00567C3E" w:rsidP="00D32FA7">
            <w:pPr>
              <w:spacing w:after="0"/>
              <w:jc w:val="center"/>
              <w:rPr>
                <w:rFonts w:ascii="Garamond" w:hAnsi="Garamond" w:cs="Arial"/>
                <w:color w:val="FFFFFF" w:themeColor="background1"/>
                <w:sz w:val="20"/>
                <w:szCs w:val="20"/>
              </w:rPr>
            </w:pPr>
            <w:r w:rsidRPr="004713F3">
              <w:rPr>
                <w:rFonts w:ascii="Garamond" w:hAnsi="Garamond" w:cs="Arial"/>
                <w:color w:val="FFFFFF" w:themeColor="background1"/>
                <w:sz w:val="20"/>
                <w:szCs w:val="20"/>
              </w:rPr>
              <w:t>Powiat m. Włocławek</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9512</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8981</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6886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6487</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-27,61%</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-27,77%</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37018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34059</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28818</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27552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-22,15%</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-19,11%</w:t>
            </w:r>
          </w:p>
        </w:tc>
      </w:tr>
      <w:tr w:rsidR="00567C3E" w:rsidRPr="004713F3" w:rsidTr="00D32FA7">
        <w:tc>
          <w:tcPr>
            <w:tcW w:w="2204" w:type="dxa"/>
            <w:tcBorders>
              <w:top w:val="single" w:sz="4" w:space="0" w:color="824BB0"/>
              <w:left w:val="single" w:sz="4" w:space="0" w:color="824BB0"/>
              <w:bottom w:val="single" w:sz="4" w:space="0" w:color="824BB0"/>
              <w:right w:val="single" w:sz="4" w:space="0" w:color="824BB0"/>
            </w:tcBorders>
          </w:tcPr>
          <w:p w:rsidR="00567C3E" w:rsidRPr="004713F3" w:rsidRDefault="00567C3E" w:rsidP="00D32FA7">
            <w:pPr>
              <w:spacing w:before="20" w:after="20"/>
              <w:rPr>
                <w:rFonts w:ascii="Garamond" w:hAnsi="Garamond" w:cs="Arial"/>
                <w:sz w:val="20"/>
                <w:szCs w:val="20"/>
              </w:rPr>
            </w:pPr>
            <w:r w:rsidRPr="004713F3">
              <w:rPr>
                <w:rFonts w:ascii="Garamond" w:hAnsi="Garamond"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7264</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17105</w:t>
            </w:r>
          </w:p>
        </w:tc>
        <w:tc>
          <w:tcPr>
            <w:tcW w:w="124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9606</w:t>
            </w:r>
          </w:p>
        </w:tc>
        <w:tc>
          <w:tcPr>
            <w:tcW w:w="1072"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16682</w:t>
            </w:r>
          </w:p>
        </w:tc>
        <w:tc>
          <w:tcPr>
            <w:tcW w:w="1167"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32,24%</w:t>
            </w:r>
          </w:p>
        </w:tc>
        <w:tc>
          <w:tcPr>
            <w:tcW w:w="1059" w:type="dxa"/>
            <w:tcBorders>
              <w:top w:val="single" w:sz="4" w:space="0" w:color="824BB0"/>
              <w:left w:val="single" w:sz="4" w:space="0" w:color="824BB0"/>
              <w:bottom w:val="single" w:sz="4" w:space="0" w:color="824BB0"/>
              <w:right w:val="single" w:sz="4" w:space="0" w:color="824BB0"/>
            </w:tcBorders>
            <w:vAlign w:val="bottom"/>
          </w:tcPr>
          <w:p w:rsidR="00567C3E" w:rsidRPr="004713F3" w:rsidRDefault="00567C3E" w:rsidP="00D32FA7">
            <w:pPr>
              <w:spacing w:after="0"/>
              <w:jc w:val="right"/>
              <w:rPr>
                <w:rFonts w:ascii="Garamond" w:hAnsi="Garamond" w:cs="Arial"/>
                <w:sz w:val="20"/>
                <w:szCs w:val="20"/>
              </w:rPr>
            </w:pPr>
            <w:r w:rsidRPr="004713F3">
              <w:rPr>
                <w:rFonts w:ascii="Garamond" w:hAnsi="Garamond" w:cs="Arial"/>
                <w:sz w:val="20"/>
                <w:szCs w:val="20"/>
              </w:rPr>
              <w:t>-2,47%</w:t>
            </w:r>
          </w:p>
        </w:tc>
      </w:tr>
    </w:tbl>
    <w:p w:rsidR="00567C3E" w:rsidRPr="004713F3" w:rsidRDefault="00567C3E" w:rsidP="00567C3E">
      <w:pPr>
        <w:spacing w:before="40"/>
        <w:rPr>
          <w:rFonts w:ascii="Garamond" w:hAnsi="Garamond" w:cs="Arial"/>
          <w:i/>
          <w:sz w:val="20"/>
        </w:rPr>
      </w:pPr>
      <w:r w:rsidRPr="004713F3">
        <w:rPr>
          <w:rFonts w:ascii="Garamond" w:hAnsi="Garamond" w:cs="Arial"/>
          <w:sz w:val="20"/>
        </w:rPr>
        <w:t>Źródło:</w:t>
      </w:r>
      <w:r w:rsidRPr="004713F3">
        <w:rPr>
          <w:rFonts w:ascii="Garamond" w:hAnsi="Garamond" w:cs="Arial"/>
          <w:i/>
          <w:sz w:val="20"/>
        </w:rPr>
        <w:t xml:space="preserve"> Opracowanie własne na podstawie danych GUS</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line="276" w:lineRule="auto"/>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C679256" wp14:editId="1C65B4BA">
                  <wp:extent cx="539654" cy="540000"/>
                  <wp:effectExtent l="19050" t="0" r="0" b="0"/>
                  <wp:docPr id="4"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Słabą stroną ORSG Powiatu Brodnickiego jest jego peryferyjne położenie względem największych ośrodków województwa – Bydgoszczy i Torunia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4D301FD" wp14:editId="2E000627">
                  <wp:extent cx="539654" cy="540000"/>
                  <wp:effectExtent l="19050" t="0" r="0" b="0"/>
                  <wp:docPr id="6"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sz w:val="20"/>
                <w:szCs w:val="20"/>
              </w:rPr>
              <w:t>W powiecie brodnickim występuje zjawisko „starzenia się” społeczeństwa, które jest trendem ogólnopolskim. W latach 2003-2013 na terenie ORSG udział osób w wieku przedprodukcyjnym w ogólnej liczbie ludności zmniejszył się. Wzrósł natomiast udział mieszkańców będących w wieku produkcyjnym i poprodukcyjnym. Struktura wiekowa w powiecie kształtuje się jednak korzystniej niż w województwie kujawsko-pomorskim, gdyż udział osób w wieku poprodukcyjnym w ogólnej liczbie mieszkańców obszaru jest niższy, a udział liczby osób w wieku przedprodukcyjnym wyższy niż wskaźniki dla województwa</w:t>
            </w:r>
            <w:r w:rsidRPr="001534A8">
              <w:rPr>
                <w:rFonts w:ascii="Garamond" w:hAnsi="Garamond" w:cs="Arial"/>
              </w:rPr>
              <w:t xml:space="preserve">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51F8C555" wp14:editId="4FB72C70">
                  <wp:extent cx="539654" cy="540000"/>
                  <wp:effectExtent l="19050" t="0" r="0" b="0"/>
                  <wp:docPr id="8"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CC0604" w:rsidRDefault="00567C3E" w:rsidP="00D32FA7">
            <w:pPr>
              <w:spacing w:before="40" w:after="40"/>
              <w:jc w:val="both"/>
              <w:rPr>
                <w:rFonts w:ascii="Garamond" w:hAnsi="Garamond"/>
                <w:sz w:val="20"/>
                <w:szCs w:val="20"/>
              </w:rPr>
            </w:pPr>
            <w:r w:rsidRPr="00CC0604">
              <w:rPr>
                <w:rFonts w:ascii="Garamond" w:hAnsi="Garamond"/>
                <w:sz w:val="20"/>
                <w:szCs w:val="20"/>
              </w:rPr>
              <w:t xml:space="preserve">Zgodnie z prognozami demograficznymi liczba mieszkańców na terenie ORSG zmniejszy się do roku 2035 o 0,3%. W celu złagodzenia tego trendu należałoby skoncentrować się na działaniach prorodzinnych mających na celu m. in. poprawę dostępu do usług opieki nad dziećmi do lat 3, zwiększenie liczby przedszkoli i zmniejszenie kosztów opieki przedszkolnej,  ułatwienie powrotu na rynek pracy osobom po urlopach macierzyńskich, rodzicielskich i wychowawczych, pomoc dla młodych małżeństw w uzyskaniu mieszkania (np. poprzez tańsze i łatwiej dostępne kredyty mieszkaniowe), ulgi podatkowe dla osób wychowujących dzieci </w:t>
            </w:r>
          </w:p>
        </w:tc>
      </w:tr>
    </w:tbl>
    <w:p w:rsidR="00567C3E" w:rsidRPr="001534A8" w:rsidRDefault="00567C3E" w:rsidP="00567C3E">
      <w:pPr>
        <w:spacing w:before="120" w:after="120"/>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25" w:name="_Toc415228156"/>
            <w:bookmarkStart w:id="26" w:name="_Toc419705516"/>
            <w:r w:rsidRPr="001534A8">
              <w:lastRenderedPageBreak/>
              <w:t>Gospodarka i rynek pracy</w:t>
            </w:r>
            <w:bookmarkEnd w:id="25"/>
            <w:bookmarkEnd w:id="26"/>
          </w:p>
        </w:tc>
        <w:tc>
          <w:tcPr>
            <w:tcW w:w="4606" w:type="dxa"/>
            <w:vAlign w:val="center"/>
          </w:tcPr>
          <w:p w:rsidR="00567C3E" w:rsidRPr="001534A8" w:rsidRDefault="00567C3E" w:rsidP="00D32FA7">
            <w:pPr>
              <w:spacing w:before="120" w:after="120"/>
              <w:jc w:val="center"/>
              <w:rPr>
                <w:rFonts w:ascii="Garamond" w:hAnsi="Garamond" w:cs="Arial"/>
              </w:rPr>
            </w:pPr>
            <w:r w:rsidRPr="001534A8">
              <w:object w:dxaOrig="2025" w:dyaOrig="2355">
                <v:shape id="_x0000_i1026" type="#_x0000_t75" style="width:78.75pt;height:90.75pt" o:ole="">
                  <v:imagedata r:id="rId34" o:title=""/>
                </v:shape>
                <o:OLEObject Type="Embed" ProgID="PBrush" ShapeID="_x0000_i1026" DrawAspect="Content" ObjectID="_1592972274" r:id="rId35"/>
              </w:object>
            </w:r>
          </w:p>
        </w:tc>
      </w:tr>
    </w:tbl>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Podmioty gospodarcze </w:t>
      </w:r>
    </w:p>
    <w:p w:rsidR="00567C3E" w:rsidRPr="001534A8" w:rsidRDefault="00567C3E" w:rsidP="00567C3E">
      <w:pPr>
        <w:spacing w:before="120" w:after="120"/>
        <w:ind w:firstLine="708"/>
        <w:jc w:val="both"/>
        <w:rPr>
          <w:rFonts w:ascii="Garamond" w:hAnsi="Garamond" w:cs="Arial"/>
        </w:rPr>
      </w:pPr>
      <w:r w:rsidRPr="001534A8">
        <w:rPr>
          <w:rFonts w:ascii="Garamond" w:hAnsi="Garamond" w:cs="Arial"/>
        </w:rPr>
        <w:t>W 2013 r. na terenie ORSG w sektorze publicznym i prywatnym działało łącznie 5 576 podmiotów. W porównaniu z rokiem 2010 ich liczba wzrosła o 5,1%. Najwięcej, bo aż 45,5% podmiotów z całego ORSG prowadzi działalność na terenie miasta Brodnicy. W analizowanym okresie znaczny przyrost ich liczby odnotowano w gminie wiejskiej Brodnica (22,2%) i Świedziebni (20,0%). Najlepszym wskaźnikiem liczby podmiotów na 1000 mieszkańców w wieku produkcyjnym charakteryzuje się miasto Brodnica (139,1) oraz gmina Górzno (128,6). Wskaźniki wyliczone zarówno dla poszczególnych gmin jak i całego ORSG są jednak niższe niż wskaźniki dla województwa czy całego kraju.</w:t>
      </w:r>
    </w:p>
    <w:p w:rsidR="00567C3E" w:rsidRPr="001534A8" w:rsidRDefault="00567C3E" w:rsidP="00567C3E">
      <w:pPr>
        <w:pStyle w:val="T"/>
      </w:pPr>
      <w:bookmarkStart w:id="27" w:name="_Toc430871990"/>
      <w:r w:rsidRPr="001534A8">
        <w:t>Tabela 8. Liczba podmiotów gospodarki narodowej na terenie ORSG Powiatu Brodnickiego</w:t>
      </w:r>
      <w:bookmarkEnd w:id="27"/>
    </w:p>
    <w:tbl>
      <w:tblPr>
        <w:tblStyle w:val="Tabela-Siatka"/>
        <w:tblW w:w="4784" w:type="pct"/>
        <w:jc w:val="center"/>
        <w:tblLayout w:type="fixed"/>
        <w:tblLook w:val="04A0" w:firstRow="1" w:lastRow="0" w:firstColumn="1" w:lastColumn="0" w:noHBand="0" w:noVBand="1"/>
      </w:tblPr>
      <w:tblGrid>
        <w:gridCol w:w="1461"/>
        <w:gridCol w:w="992"/>
        <w:gridCol w:w="999"/>
        <w:gridCol w:w="1072"/>
        <w:gridCol w:w="1136"/>
        <w:gridCol w:w="995"/>
        <w:gridCol w:w="995"/>
        <w:gridCol w:w="1237"/>
      </w:tblGrid>
      <w:tr w:rsidR="00567C3E" w:rsidRPr="001534A8" w:rsidTr="00D32FA7">
        <w:trPr>
          <w:trHeight w:val="255"/>
          <w:jc w:val="center"/>
        </w:trPr>
        <w:tc>
          <w:tcPr>
            <w:tcW w:w="822" w:type="pct"/>
            <w:vMerge w:val="restart"/>
            <w:tcBorders>
              <w:top w:val="single" w:sz="4" w:space="0" w:color="824BB0"/>
              <w:left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Jednostka terytorialna</w:t>
            </w:r>
          </w:p>
        </w:tc>
        <w:tc>
          <w:tcPr>
            <w:tcW w:w="2362" w:type="pct"/>
            <w:gridSpan w:val="4"/>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Ogólna liczba</w:t>
            </w:r>
          </w:p>
        </w:tc>
        <w:tc>
          <w:tcPr>
            <w:tcW w:w="1816" w:type="pct"/>
            <w:gridSpan w:val="3"/>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bCs/>
                <w:color w:val="FFFFFF" w:themeColor="background1"/>
                <w:sz w:val="20"/>
                <w:szCs w:val="20"/>
              </w:rPr>
              <w:t>Podmioty na 1000 mieszkańców w wieku produkcyjnym</w:t>
            </w:r>
          </w:p>
        </w:tc>
      </w:tr>
      <w:tr w:rsidR="00567C3E" w:rsidRPr="001534A8" w:rsidTr="00D32FA7">
        <w:trPr>
          <w:trHeight w:val="255"/>
          <w:jc w:val="center"/>
        </w:trPr>
        <w:tc>
          <w:tcPr>
            <w:tcW w:w="822" w:type="pct"/>
            <w:vMerge/>
            <w:tcBorders>
              <w:left w:val="single" w:sz="4" w:space="0" w:color="824BB0"/>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p>
        </w:tc>
        <w:tc>
          <w:tcPr>
            <w:tcW w:w="558"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2"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0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ilościowa</w:t>
            </w:r>
          </w:p>
        </w:tc>
        <w:tc>
          <w:tcPr>
            <w:tcW w:w="63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56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696"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vAlign w:val="center"/>
            <w:hideMark/>
          </w:tcPr>
          <w:p w:rsidR="00567C3E" w:rsidRPr="001534A8" w:rsidRDefault="00567C3E" w:rsidP="00D32FA7">
            <w:pPr>
              <w:spacing w:before="40" w:after="40"/>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Zmiana procentowa</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243</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11,9%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91,8</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12,0%</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335</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29</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77,4</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84,1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2 489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2 539</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139,1</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419</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512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93</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87,9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102,4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202</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208</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86,7</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89,0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327</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131,1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128,6</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-1,9%</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590</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103,5</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103,0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-0,5%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216</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221</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85,2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86,4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1,4%</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246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41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20,0%</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64,3</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75,0</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16,6%</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304</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326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22</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7,2%</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99,9</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106,4</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sz w:val="20"/>
                <w:szCs w:val="20"/>
              </w:rPr>
            </w:pPr>
            <w:r w:rsidRPr="001534A8">
              <w:rPr>
                <w:rFonts w:ascii="Garamond" w:eastAsia="Times New Roman" w:hAnsi="Garamond" w:cs="Arial"/>
                <w:sz w:val="20"/>
                <w:szCs w:val="20"/>
              </w:rPr>
              <w:t>6,5%</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5 305</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5 576</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271</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107,1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112,2</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4,8%</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558"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186 007</w:t>
            </w:r>
          </w:p>
        </w:tc>
        <w:tc>
          <w:tcPr>
            <w:tcW w:w="562"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191 252</w:t>
            </w:r>
          </w:p>
        </w:tc>
        <w:tc>
          <w:tcPr>
            <w:tcW w:w="603"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5 245</w:t>
            </w:r>
          </w:p>
        </w:tc>
        <w:tc>
          <w:tcPr>
            <w:tcW w:w="639"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2,8%</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137,1</w:t>
            </w:r>
          </w:p>
        </w:tc>
        <w:tc>
          <w:tcPr>
            <w:tcW w:w="560"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143,5</w:t>
            </w:r>
          </w:p>
        </w:tc>
        <w:tc>
          <w:tcPr>
            <w:tcW w:w="696" w:type="pct"/>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4,7%</w:t>
            </w:r>
          </w:p>
        </w:tc>
      </w:tr>
      <w:tr w:rsidR="00567C3E" w:rsidRPr="001534A8" w:rsidTr="00D32FA7">
        <w:trPr>
          <w:trHeight w:val="255"/>
          <w:jc w:val="center"/>
        </w:trPr>
        <w:tc>
          <w:tcPr>
            <w:tcW w:w="822" w:type="pct"/>
            <w:tcBorders>
              <w:top w:val="single" w:sz="4" w:space="0" w:color="824BB0"/>
              <w:left w:val="single" w:sz="4" w:space="0" w:color="824BB0"/>
              <w:bottom w:val="single" w:sz="4" w:space="0" w:color="824BB0"/>
              <w:right w:val="single" w:sz="4" w:space="0" w:color="824BB0"/>
            </w:tcBorders>
            <w:hideMark/>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Polska</w:t>
            </w:r>
          </w:p>
        </w:tc>
        <w:tc>
          <w:tcPr>
            <w:tcW w:w="558"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3 909 802</w:t>
            </w:r>
          </w:p>
        </w:tc>
        <w:tc>
          <w:tcPr>
            <w:tcW w:w="562"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4 070 259</w:t>
            </w:r>
          </w:p>
        </w:tc>
        <w:tc>
          <w:tcPr>
            <w:tcW w:w="603"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160 457</w:t>
            </w:r>
          </w:p>
        </w:tc>
        <w:tc>
          <w:tcPr>
            <w:tcW w:w="639"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4,1%</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157,5</w:t>
            </w:r>
          </w:p>
        </w:tc>
        <w:tc>
          <w:tcPr>
            <w:tcW w:w="560"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166,7</w:t>
            </w:r>
          </w:p>
        </w:tc>
        <w:tc>
          <w:tcPr>
            <w:tcW w:w="696" w:type="pct"/>
            <w:tcBorders>
              <w:top w:val="single" w:sz="4" w:space="0" w:color="824BB0"/>
              <w:left w:val="single" w:sz="4" w:space="0" w:color="824BB0"/>
              <w:bottom w:val="single" w:sz="4" w:space="0" w:color="824BB0"/>
              <w:right w:val="single" w:sz="4" w:space="0" w:color="824BB0"/>
            </w:tcBorders>
            <w:noWrap/>
            <w:hideMark/>
          </w:tcPr>
          <w:p w:rsidR="00567C3E" w:rsidRPr="001534A8" w:rsidRDefault="00567C3E" w:rsidP="00D32FA7">
            <w:pPr>
              <w:spacing w:before="40" w:after="40"/>
              <w:jc w:val="right"/>
              <w:rPr>
                <w:rFonts w:ascii="Garamond" w:eastAsia="Times New Roman" w:hAnsi="Garamond" w:cs="Arial"/>
                <w:b/>
                <w:sz w:val="20"/>
                <w:szCs w:val="20"/>
              </w:rPr>
            </w:pPr>
            <w:r w:rsidRPr="001534A8">
              <w:rPr>
                <w:rFonts w:ascii="Garamond" w:eastAsia="Times New Roman" w:hAnsi="Garamond" w:cs="Arial"/>
                <w:b/>
                <w:sz w:val="20"/>
                <w:szCs w:val="20"/>
              </w:rPr>
              <w:t>5,8%</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Nagwek2"/>
        <w:spacing w:before="120" w:after="120" w:line="276" w:lineRule="auto"/>
        <w:ind w:firstLine="708"/>
        <w:rPr>
          <w:b w:val="0"/>
          <w:color w:val="auto"/>
          <w:sz w:val="22"/>
          <w:szCs w:val="22"/>
        </w:rPr>
      </w:pPr>
      <w:r w:rsidRPr="001534A8">
        <w:rPr>
          <w:b w:val="0"/>
          <w:color w:val="auto"/>
          <w:sz w:val="22"/>
          <w:szCs w:val="22"/>
        </w:rPr>
        <w:t xml:space="preserve">Poziom aktywności gospodarczej Powiatu Brodnickiego na tle pozostałych powiatów województwa można ocenić jako średni. Na koniec 2013 roku wskaźnik liczby podmiotów wpisanych do rejestru REGON przypadających na 10 tys. mieszkańców wynosił dla obszaru 714. </w:t>
      </w: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p>
    <w:p w:rsidR="00567C3E" w:rsidRPr="001534A8" w:rsidRDefault="00567C3E" w:rsidP="00567C3E">
      <w:pPr>
        <w:pStyle w:val="W"/>
      </w:pPr>
      <w:bookmarkStart w:id="28" w:name="_Toc430868386"/>
      <w:r w:rsidRPr="001534A8">
        <w:lastRenderedPageBreak/>
        <w:t xml:space="preserve">Wykres </w:t>
      </w:r>
      <w:r>
        <w:t>6</w:t>
      </w:r>
      <w:r w:rsidRPr="001534A8">
        <w:t>. Liczba podmiotów gospodarki narodowej wpisanych do rejestru REGON na 10 tys. ludności w województwie kujawsko-pomorskim w 2013 r.</w:t>
      </w:r>
      <w:bookmarkEnd w:id="28"/>
    </w:p>
    <w:p w:rsidR="00567C3E" w:rsidRPr="001534A8" w:rsidRDefault="00567C3E" w:rsidP="00567C3E">
      <w:pPr>
        <w:ind w:firstLine="708"/>
        <w:jc w:val="center"/>
        <w:rPr>
          <w:rFonts w:cs="Arial"/>
        </w:rPr>
      </w:pPr>
      <w:r w:rsidRPr="001534A8">
        <w:rPr>
          <w:rFonts w:cs="Arial"/>
          <w:noProof/>
        </w:rPr>
        <w:drawing>
          <wp:inline distT="0" distB="0" distL="0" distR="0" wp14:anchorId="4130A75E" wp14:editId="0291A375">
            <wp:extent cx="3912042" cy="3204376"/>
            <wp:effectExtent l="0" t="0" r="0" b="0"/>
            <wp:docPr id="19"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W 2013 r. na ORSG Powiatu Brodnickiego przeważającą część podmiotów gospodarczych (94,3%) stanowiły przedsiębiorstwa zatrudniające do 9 pracowników. Największy udział mikro i małych firm  zaobserwowano w gminie Zbiczno (98,2%), najmniejszy zaś w mieście Brodnicy (92,6%), w której z kolei funkcjonuje najwięcej dużych firm. W 2013 r. w powiecie działało 4,7% podmiotów zatrudniających od 10 do 49 pracowników oraz 1% przedsiębiorstw, w których pracowało więcej niż 50 osób. Gminą, na terenie której występuje największy udział średnich i dużych firm jest miasto Brodnica. Struktura podmiotów gospodarczych na ORSG Powiatu Brodnickiego nieznacznie odbiega od wojewódzkiej. W powiecie występuje niższy udział podmiotów zatrudniających do 9 pracowników, a wyższy przedsiębiorstw, w których pracuje powyżej 10 osób niż w województwie kujawsko-pomorskim.   </w:t>
      </w:r>
    </w:p>
    <w:p w:rsidR="00567C3E" w:rsidRPr="001534A8" w:rsidRDefault="00567C3E" w:rsidP="00567C3E">
      <w:pPr>
        <w:pStyle w:val="T"/>
        <w:spacing w:after="40"/>
        <w:rPr>
          <w:rFonts w:eastAsia="Times New Roman" w:cs="Arial"/>
          <w:bCs/>
          <w:sz w:val="18"/>
          <w:szCs w:val="20"/>
        </w:rPr>
      </w:pPr>
      <w:bookmarkStart w:id="29" w:name="_Toc430871991"/>
      <w:r w:rsidRPr="001534A8">
        <w:t>Tabela 9. Struktura podmiotów gospodarczych na ORSG Powiatu Brodnickiego w 2013 r. ze względu na wielkość zatrudnienia</w:t>
      </w:r>
      <w:bookmarkEnd w:id="29"/>
      <w:r w:rsidRPr="001534A8">
        <w:t xml:space="preserve"> </w:t>
      </w:r>
    </w:p>
    <w:tbl>
      <w:tblPr>
        <w:tblW w:w="586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34"/>
        <w:gridCol w:w="765"/>
        <w:gridCol w:w="805"/>
        <w:gridCol w:w="913"/>
        <w:gridCol w:w="1247"/>
      </w:tblGrid>
      <w:tr w:rsidR="00567C3E" w:rsidRPr="001534A8" w:rsidTr="00D32FA7">
        <w:trPr>
          <w:trHeight w:val="20"/>
          <w:jc w:val="center"/>
        </w:trPr>
        <w:tc>
          <w:tcPr>
            <w:tcW w:w="2134"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Jednostka terytorialna</w:t>
            </w:r>
          </w:p>
        </w:tc>
        <w:tc>
          <w:tcPr>
            <w:tcW w:w="76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0 - 9</w:t>
            </w:r>
          </w:p>
        </w:tc>
        <w:tc>
          <w:tcPr>
            <w:tcW w:w="805"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10 - 49</w:t>
            </w:r>
          </w:p>
        </w:tc>
        <w:tc>
          <w:tcPr>
            <w:tcW w:w="913" w:type="dxa"/>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50 - 249</w:t>
            </w:r>
          </w:p>
        </w:tc>
        <w:tc>
          <w:tcPr>
            <w:tcW w:w="1247"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
                <w:bCs/>
                <w:color w:val="FFFFFF"/>
                <w:sz w:val="20"/>
                <w:szCs w:val="20"/>
              </w:rPr>
            </w:pPr>
            <w:r w:rsidRPr="001534A8">
              <w:rPr>
                <w:rFonts w:ascii="Garamond" w:eastAsia="Times New Roman" w:hAnsi="Garamond" w:cs="Arial"/>
                <w:b/>
                <w:bCs/>
                <w:color w:val="FFFFFF"/>
                <w:sz w:val="20"/>
                <w:szCs w:val="20"/>
              </w:rPr>
              <w:t>250 i więcej</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Bartniczka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4,4%</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Bobrowo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95,5%</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4,2%</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92,6%</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1,5%</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0,3%</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g. w.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0,2%</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Brzozie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94,7%</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Górzno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95,1%</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Jabłonowo Pomorskie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0,7%</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Osiek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95,0%</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5,0%</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Świedziebnia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96,3%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0,4%</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Zbiczno </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98,2%</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1,8%</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0,0%</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94,3%</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4,7%</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0,9%</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r w:rsidR="00567C3E" w:rsidRPr="001534A8" w:rsidTr="00D32FA7">
        <w:trPr>
          <w:trHeight w:val="20"/>
          <w:jc w:val="center"/>
        </w:trPr>
        <w:tc>
          <w:tcPr>
            <w:tcW w:w="2134" w:type="dxa"/>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b/>
                <w:sz w:val="20"/>
                <w:szCs w:val="20"/>
              </w:rPr>
            </w:pPr>
            <w:r w:rsidRPr="001534A8">
              <w:rPr>
                <w:rFonts w:ascii="Garamond" w:eastAsia="Times New Roman" w:hAnsi="Garamond" w:cs="Arial"/>
                <w:b/>
                <w:sz w:val="20"/>
                <w:szCs w:val="20"/>
              </w:rPr>
              <w:t>Kujawsko-Pomorskie</w:t>
            </w:r>
          </w:p>
        </w:tc>
        <w:tc>
          <w:tcPr>
            <w:tcW w:w="76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95,4%</w:t>
            </w:r>
          </w:p>
        </w:tc>
        <w:tc>
          <w:tcPr>
            <w:tcW w:w="805"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3,6%</w:t>
            </w:r>
          </w:p>
        </w:tc>
        <w:tc>
          <w:tcPr>
            <w:tcW w:w="913"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0,8%</w:t>
            </w:r>
          </w:p>
        </w:tc>
        <w:tc>
          <w:tcPr>
            <w:tcW w:w="1247"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0,1%</w:t>
            </w:r>
          </w:p>
        </w:tc>
      </w:tr>
    </w:tbl>
    <w:p w:rsidR="00567C3E" w:rsidRDefault="00567C3E" w:rsidP="00567C3E">
      <w:pPr>
        <w:spacing w:before="40" w:after="120"/>
        <w:rPr>
          <w:rFonts w:ascii="Garamond" w:hAnsi="Garamond" w:cs="Arial"/>
          <w:i/>
          <w:sz w:val="20"/>
        </w:rPr>
      </w:pPr>
      <w:r w:rsidRPr="001534A8">
        <w:rPr>
          <w:rFonts w:ascii="Garamond" w:hAnsi="Garamond" w:cs="Arial"/>
          <w:sz w:val="20"/>
        </w:rPr>
        <w:lastRenderedPageBreak/>
        <w:t>Źródło:</w:t>
      </w:r>
      <w:r w:rsidRPr="001534A8">
        <w:rPr>
          <w:rFonts w:ascii="Garamond" w:hAnsi="Garamond" w:cs="Arial"/>
          <w:i/>
          <w:sz w:val="20"/>
        </w:rPr>
        <w:t xml:space="preserve"> Opracowanie własne na podstawie danych GUS.</w:t>
      </w:r>
    </w:p>
    <w:p w:rsidR="00567C3E" w:rsidRPr="00CC0604" w:rsidRDefault="00567C3E" w:rsidP="00567C3E">
      <w:pPr>
        <w:spacing w:before="40" w:after="120"/>
        <w:ind w:firstLine="708"/>
        <w:jc w:val="both"/>
        <w:rPr>
          <w:rFonts w:ascii="Garamond" w:hAnsi="Garamond" w:cs="Arial"/>
        </w:rPr>
      </w:pPr>
      <w:r w:rsidRPr="00CC0604">
        <w:rPr>
          <w:rFonts w:ascii="Garamond" w:hAnsi="Garamond" w:cs="Arial"/>
        </w:rPr>
        <w:t>Istotną kwestią w zakresie analizy sektora podmiotów gospodarczych jest poziom innowacyjności przedsiębiorstw. W latach 2007-2013 przedsiębiorcy mogli skorzystać ze środków Programu Innowacyjna Gospodarka, którego celem było dofinansowanie innowacyjnych projektów związanych z badaniami i rozwojem, nowoczesnymi technologiami, inwestycjami o dużym znaczeniu dla gospodarki lub wdrażaniem i stosowaniem technologii informacyjnych i komunikacyjnych. Jeśli pominąć miasta na prawach powiatu ze względu na ich specyfikę i liczbę funkcjonu</w:t>
      </w:r>
      <w:r>
        <w:rPr>
          <w:rFonts w:ascii="Garamond" w:hAnsi="Garamond" w:cs="Arial"/>
        </w:rPr>
        <w:t>jących w nich przedsiębiorstw, P</w:t>
      </w:r>
      <w:r w:rsidRPr="00CC0604">
        <w:rPr>
          <w:rFonts w:ascii="Garamond" w:hAnsi="Garamond" w:cs="Arial"/>
        </w:rPr>
        <w:t xml:space="preserve">owiat </w:t>
      </w:r>
      <w:r>
        <w:rPr>
          <w:rFonts w:ascii="Garamond" w:hAnsi="Garamond" w:cs="Arial"/>
        </w:rPr>
        <w:t>B</w:t>
      </w:r>
      <w:r w:rsidRPr="00CC0604">
        <w:rPr>
          <w:rFonts w:ascii="Garamond" w:hAnsi="Garamond" w:cs="Arial"/>
        </w:rPr>
        <w:t>rodnicki pod względem ilości podpisanych umów zajmuje 7 pozycję (24 umowy) wśród 19 powiatów ziemskich. Jednak biorąc pod uwagę wartość całkowitą podpisanych umów jest to miejsce 15 (z kwotą 12,59 mln zł), zaś pod względem wartości całkowitej projektów zamkniętych do dnia 30 czerwca 2014 r. – miejsce 16.</w:t>
      </w:r>
    </w:p>
    <w:p w:rsidR="00567C3E" w:rsidRPr="00473886" w:rsidRDefault="00567C3E" w:rsidP="00567C3E">
      <w:pPr>
        <w:pStyle w:val="T"/>
      </w:pPr>
      <w:bookmarkStart w:id="30" w:name="_Toc430871992"/>
      <w:r w:rsidRPr="00473886">
        <w:t>Tabela 10. Liczba i wartość podpisanych umów w ramach Programu Innowacyjna Gospodarka 2007-2013</w:t>
      </w:r>
      <w:bookmarkEnd w:id="30"/>
    </w:p>
    <w:tbl>
      <w:tblPr>
        <w:tblW w:w="8720" w:type="dxa"/>
        <w:tblInd w:w="59" w:type="dxa"/>
        <w:tblCellMar>
          <w:left w:w="70" w:type="dxa"/>
          <w:right w:w="70" w:type="dxa"/>
        </w:tblCellMar>
        <w:tblLook w:val="04A0" w:firstRow="1" w:lastRow="0" w:firstColumn="1" w:lastColumn="0" w:noHBand="0" w:noVBand="1"/>
      </w:tblPr>
      <w:tblGrid>
        <w:gridCol w:w="2240"/>
        <w:gridCol w:w="1480"/>
        <w:gridCol w:w="2500"/>
        <w:gridCol w:w="2500"/>
      </w:tblGrid>
      <w:tr w:rsidR="00567C3E" w:rsidRPr="00CC0604" w:rsidTr="00D32FA7">
        <w:trPr>
          <w:trHeight w:val="660"/>
        </w:trPr>
        <w:tc>
          <w:tcPr>
            <w:tcW w:w="2240" w:type="dxa"/>
            <w:vMerge w:val="restart"/>
            <w:tcBorders>
              <w:top w:val="single" w:sz="4" w:space="0" w:color="824BB0"/>
              <w:left w:val="single" w:sz="4" w:space="0" w:color="824BB0"/>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Jednostka terytorialna</w:t>
            </w:r>
          </w:p>
        </w:tc>
        <w:tc>
          <w:tcPr>
            <w:tcW w:w="1480" w:type="dxa"/>
            <w:vMerge w:val="restart"/>
            <w:tcBorders>
              <w:top w:val="single" w:sz="4" w:space="0" w:color="824BB0"/>
              <w:left w:val="single" w:sz="4" w:space="0" w:color="FFFFFF"/>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 xml:space="preserve">podpisane umowy o dofinansowanie </w:t>
            </w:r>
          </w:p>
        </w:tc>
        <w:tc>
          <w:tcPr>
            <w:tcW w:w="2500" w:type="dxa"/>
            <w:tcBorders>
              <w:top w:val="single" w:sz="4" w:space="0" w:color="824BB0"/>
              <w:left w:val="nil"/>
              <w:bottom w:val="nil"/>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podpisanych umów o dofinansowanie</w:t>
            </w:r>
          </w:p>
        </w:tc>
        <w:tc>
          <w:tcPr>
            <w:tcW w:w="2500" w:type="dxa"/>
            <w:tcBorders>
              <w:top w:val="single" w:sz="4" w:space="0" w:color="824BB0"/>
              <w:left w:val="nil"/>
              <w:bottom w:val="nil"/>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całkowita projektów zakończonych</w:t>
            </w:r>
          </w:p>
        </w:tc>
      </w:tr>
      <w:tr w:rsidR="00567C3E" w:rsidRPr="00CC0604" w:rsidTr="00D32FA7">
        <w:trPr>
          <w:trHeight w:val="810"/>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vMerge/>
            <w:tcBorders>
              <w:top w:val="single" w:sz="4" w:space="0" w:color="824BB0"/>
              <w:left w:val="single" w:sz="4" w:space="0" w:color="FFFFFF"/>
              <w:bottom w:val="single" w:sz="4" w:space="0" w:color="FFFFFF"/>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2500" w:type="dxa"/>
            <w:tcBorders>
              <w:top w:val="single" w:sz="4" w:space="0" w:color="FFFFFF"/>
              <w:left w:val="nil"/>
              <w:bottom w:val="single" w:sz="4" w:space="0" w:color="FFFFFF"/>
              <w:right w:val="single" w:sz="4" w:space="0" w:color="FFFFFF"/>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c>
          <w:tcPr>
            <w:tcW w:w="2500" w:type="dxa"/>
            <w:tcBorders>
              <w:top w:val="single" w:sz="4" w:space="0" w:color="FFFFFF"/>
              <w:left w:val="nil"/>
              <w:bottom w:val="single" w:sz="4" w:space="0" w:color="FFFFFF"/>
              <w:right w:val="single" w:sz="4" w:space="0" w:color="824BB0"/>
            </w:tcBorders>
            <w:shd w:val="clear" w:color="000000" w:fill="824BB0"/>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wartość ogółem (wydatki kwalifikowalne + niekwalifikowalne)</w:t>
            </w:r>
          </w:p>
        </w:tc>
      </w:tr>
      <w:tr w:rsidR="00567C3E" w:rsidRPr="00CC0604" w:rsidTr="00D32FA7">
        <w:trPr>
          <w:trHeight w:val="255"/>
        </w:trPr>
        <w:tc>
          <w:tcPr>
            <w:tcW w:w="2240" w:type="dxa"/>
            <w:vMerge/>
            <w:tcBorders>
              <w:top w:val="single" w:sz="4" w:space="0" w:color="824BB0"/>
              <w:left w:val="single" w:sz="4" w:space="0" w:color="824BB0"/>
              <w:bottom w:val="single" w:sz="4" w:space="0" w:color="824BB0"/>
              <w:right w:val="single" w:sz="4" w:space="0" w:color="FFFFFF"/>
            </w:tcBorders>
            <w:vAlign w:val="center"/>
            <w:hideMark/>
          </w:tcPr>
          <w:p w:rsidR="00567C3E" w:rsidRPr="00CC0604" w:rsidRDefault="00567C3E" w:rsidP="00D32FA7">
            <w:pPr>
              <w:spacing w:after="0" w:line="240" w:lineRule="auto"/>
              <w:rPr>
                <w:rFonts w:ascii="Garamond" w:eastAsia="Times New Roman" w:hAnsi="Garamond" w:cs="Arial"/>
                <w:bCs/>
                <w:color w:val="FFFFFF"/>
                <w:sz w:val="20"/>
                <w:szCs w:val="18"/>
              </w:rPr>
            </w:pPr>
          </w:p>
        </w:tc>
        <w:tc>
          <w:tcPr>
            <w:tcW w:w="1480" w:type="dxa"/>
            <w:tcBorders>
              <w:top w:val="nil"/>
              <w:left w:val="nil"/>
              <w:bottom w:val="single" w:sz="4" w:space="0" w:color="824BB0"/>
              <w:right w:val="nil"/>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szt.</w:t>
            </w:r>
          </w:p>
        </w:tc>
        <w:tc>
          <w:tcPr>
            <w:tcW w:w="2500" w:type="dxa"/>
            <w:tcBorders>
              <w:top w:val="nil"/>
              <w:left w:val="single" w:sz="4" w:space="0" w:color="FFFFFF"/>
              <w:bottom w:val="single" w:sz="4" w:space="0" w:color="824BB0"/>
              <w:right w:val="single" w:sz="4" w:space="0" w:color="FFFFFF"/>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c>
          <w:tcPr>
            <w:tcW w:w="2500" w:type="dxa"/>
            <w:tcBorders>
              <w:top w:val="nil"/>
              <w:left w:val="nil"/>
              <w:bottom w:val="single" w:sz="4" w:space="0" w:color="824BB0"/>
              <w:right w:val="single" w:sz="4" w:space="0" w:color="824BB0"/>
            </w:tcBorders>
            <w:shd w:val="clear" w:color="000000" w:fill="824BB0"/>
            <w:noWrap/>
            <w:vAlign w:val="center"/>
            <w:hideMark/>
          </w:tcPr>
          <w:p w:rsidR="00567C3E" w:rsidRPr="00CC0604" w:rsidRDefault="00567C3E" w:rsidP="00D32FA7">
            <w:pPr>
              <w:spacing w:after="0" w:line="240" w:lineRule="auto"/>
              <w:jc w:val="center"/>
              <w:rPr>
                <w:rFonts w:ascii="Garamond" w:eastAsia="Times New Roman" w:hAnsi="Garamond" w:cs="Arial"/>
                <w:bCs/>
                <w:color w:val="FFFFFF"/>
                <w:sz w:val="20"/>
                <w:szCs w:val="18"/>
              </w:rPr>
            </w:pPr>
            <w:r w:rsidRPr="00CC0604">
              <w:rPr>
                <w:rFonts w:ascii="Garamond" w:eastAsia="Times New Roman" w:hAnsi="Garamond" w:cs="Arial"/>
                <w:bCs/>
                <w:color w:val="FFFFFF"/>
                <w:sz w:val="20"/>
                <w:szCs w:val="18"/>
              </w:rPr>
              <w:t>mln zł</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bydgoski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204,28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78,18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toruński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28,76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11,06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Bydgoszcz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851,43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189,21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Toruń</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624,87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230,39</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Powiat brodnicki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12,59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0,90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chełmiński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16,66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 xml:space="preserve"> Powiat golubsko-dobrzyński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2,86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0,23</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grudziądzki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66,13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sępoleński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świecki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2,40</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tucholski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48,82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wąbrzeski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15,02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11,87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Grudziądz</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47,08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33,64</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aleksandrowski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17,72</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7,47</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inowrocławski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125,39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40,25</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lipnowski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0,02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mogileński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17,58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0,18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nakielski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25</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169,21</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176,52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radziejowski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17,10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4,82</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rypiński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10</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11,48</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4,78</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włocławski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33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29,27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27,01</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żniński</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14,04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4,36</w:t>
            </w:r>
          </w:p>
        </w:tc>
      </w:tr>
      <w:tr w:rsidR="00567C3E" w:rsidRPr="00CC0604"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sz w:val="20"/>
                <w:szCs w:val="18"/>
              </w:rPr>
            </w:pPr>
            <w:r w:rsidRPr="00CC0604">
              <w:rPr>
                <w:rFonts w:ascii="Garamond" w:eastAsia="Times New Roman" w:hAnsi="Garamond" w:cs="Arial"/>
                <w:sz w:val="20"/>
                <w:szCs w:val="18"/>
              </w:rPr>
              <w:t>Powiat m. Włocławek</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143,83</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sz w:val="20"/>
                <w:szCs w:val="18"/>
              </w:rPr>
            </w:pPr>
            <w:r w:rsidRPr="00CC0604">
              <w:rPr>
                <w:rFonts w:ascii="Garamond" w:eastAsia="Times New Roman" w:hAnsi="Garamond" w:cs="Arial"/>
                <w:sz w:val="20"/>
                <w:szCs w:val="18"/>
              </w:rPr>
              <w:t>65,18</w:t>
            </w:r>
          </w:p>
        </w:tc>
      </w:tr>
      <w:tr w:rsidR="00567C3E" w:rsidRPr="004C5601" w:rsidTr="00D32FA7">
        <w:trPr>
          <w:trHeight w:val="255"/>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567C3E" w:rsidRPr="00CC0604" w:rsidRDefault="00567C3E" w:rsidP="00D32FA7">
            <w:pPr>
              <w:spacing w:after="0" w:line="240" w:lineRule="auto"/>
              <w:rPr>
                <w:rFonts w:ascii="Garamond" w:eastAsia="Times New Roman" w:hAnsi="Garamond" w:cs="Arial"/>
                <w:b/>
                <w:sz w:val="20"/>
                <w:szCs w:val="18"/>
              </w:rPr>
            </w:pPr>
            <w:r w:rsidRPr="00CC0604">
              <w:rPr>
                <w:rFonts w:ascii="Garamond" w:eastAsia="Times New Roman" w:hAnsi="Garamond" w:cs="Arial"/>
                <w:b/>
                <w:sz w:val="20"/>
                <w:szCs w:val="18"/>
              </w:rPr>
              <w:t>Kujawsko-pomorskie</w:t>
            </w:r>
          </w:p>
        </w:tc>
        <w:tc>
          <w:tcPr>
            <w:tcW w:w="148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917</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CC0604"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2 543,59</w:t>
            </w:r>
          </w:p>
        </w:tc>
        <w:tc>
          <w:tcPr>
            <w:tcW w:w="2500" w:type="dxa"/>
            <w:tcBorders>
              <w:top w:val="nil"/>
              <w:left w:val="nil"/>
              <w:bottom w:val="single" w:sz="4" w:space="0" w:color="824BB0"/>
              <w:right w:val="single" w:sz="4" w:space="0" w:color="824BB0"/>
            </w:tcBorders>
            <w:shd w:val="clear" w:color="auto" w:fill="auto"/>
            <w:noWrap/>
            <w:vAlign w:val="bottom"/>
            <w:hideMark/>
          </w:tcPr>
          <w:p w:rsidR="00567C3E" w:rsidRPr="004C5601" w:rsidRDefault="00567C3E" w:rsidP="00D32FA7">
            <w:pPr>
              <w:spacing w:after="0" w:line="240" w:lineRule="auto"/>
              <w:jc w:val="right"/>
              <w:rPr>
                <w:rFonts w:ascii="Garamond" w:eastAsia="Times New Roman" w:hAnsi="Garamond" w:cs="Arial"/>
                <w:b/>
                <w:sz w:val="20"/>
                <w:szCs w:val="18"/>
              </w:rPr>
            </w:pPr>
            <w:r w:rsidRPr="00CC0604">
              <w:rPr>
                <w:rFonts w:ascii="Garamond" w:eastAsia="Times New Roman" w:hAnsi="Garamond" w:cs="Arial"/>
                <w:b/>
                <w:sz w:val="20"/>
                <w:szCs w:val="18"/>
              </w:rPr>
              <w:t>966,01</w:t>
            </w:r>
          </w:p>
        </w:tc>
      </w:tr>
    </w:tbl>
    <w:p w:rsidR="00567C3E" w:rsidRPr="00E47331" w:rsidRDefault="00567C3E" w:rsidP="00567C3E">
      <w:pPr>
        <w:spacing w:before="40" w:after="120"/>
        <w:jc w:val="both"/>
        <w:rPr>
          <w:rFonts w:ascii="Garamond" w:hAnsi="Garamond" w:cs="Arial"/>
          <w:i/>
          <w:sz w:val="20"/>
        </w:rPr>
      </w:pPr>
      <w:r w:rsidRPr="00CC0604">
        <w:rPr>
          <w:rFonts w:ascii="Garamond" w:hAnsi="Garamond" w:cs="Arial"/>
          <w:sz w:val="20"/>
        </w:rPr>
        <w:t xml:space="preserve">Źródło: </w:t>
      </w:r>
      <w:r w:rsidRPr="00CC0604">
        <w:rPr>
          <w:rFonts w:ascii="Garamond" w:hAnsi="Garamond" w:cs="Arial"/>
          <w:i/>
          <w:sz w:val="20"/>
        </w:rPr>
        <w:t>GUS.</w:t>
      </w:r>
      <w:r w:rsidRPr="00E47331">
        <w:rPr>
          <w:rFonts w:ascii="Garamond" w:hAnsi="Garamond" w:cs="Arial"/>
          <w:i/>
          <w:sz w:val="20"/>
        </w:rPr>
        <w:t xml:space="preserve"> </w:t>
      </w:r>
    </w:p>
    <w:p w:rsidR="00567C3E" w:rsidRPr="001534A8" w:rsidRDefault="00567C3E" w:rsidP="00567C3E">
      <w:pPr>
        <w:spacing w:before="240"/>
        <w:jc w:val="both"/>
        <w:rPr>
          <w:rFonts w:ascii="Garamond" w:hAnsi="Garamond"/>
          <w:b/>
          <w:color w:val="B1059D"/>
          <w:sz w:val="24"/>
          <w:szCs w:val="16"/>
          <w:shd w:val="clear" w:color="auto" w:fill="FAFCFF"/>
        </w:rPr>
      </w:pPr>
      <w:r w:rsidRPr="001534A8">
        <w:rPr>
          <w:rFonts w:ascii="Garamond" w:hAnsi="Garamond"/>
          <w:b/>
          <w:color w:val="B1059D"/>
          <w:sz w:val="24"/>
          <w:szCs w:val="16"/>
          <w:shd w:val="clear" w:color="auto" w:fill="FAFCFF"/>
        </w:rPr>
        <w:t>Najważniejsze branże przemysłu i usług</w:t>
      </w:r>
    </w:p>
    <w:p w:rsidR="00567C3E" w:rsidRPr="001534A8" w:rsidRDefault="00567C3E" w:rsidP="00567C3E">
      <w:pPr>
        <w:ind w:firstLine="708"/>
        <w:jc w:val="both"/>
        <w:rPr>
          <w:rFonts w:ascii="Garamond" w:hAnsi="Garamond"/>
          <w:color w:val="2A2A2A"/>
          <w:szCs w:val="16"/>
          <w:shd w:val="clear" w:color="auto" w:fill="FAFCFF"/>
        </w:rPr>
      </w:pPr>
      <w:r w:rsidRPr="001534A8">
        <w:rPr>
          <w:rFonts w:ascii="Garamond" w:hAnsi="Garamond"/>
          <w:color w:val="2A2A2A"/>
          <w:szCs w:val="16"/>
          <w:shd w:val="clear" w:color="auto" w:fill="FAFCFF"/>
        </w:rPr>
        <w:t xml:space="preserve">Wg danych GUS w sektorze handlu działa 26,0% wszystkich podmiotów z terenu ORSG, natomiast w sektorze budownictwa 14,9%. Dobrze rozwiniętą gałęzią gospodarki jest przetwórstwo rolne, w tym obszarze działa 9,4% wszystkich podmiotów z ORSG. </w:t>
      </w:r>
    </w:p>
    <w:p w:rsidR="00567C3E" w:rsidRPr="001534A8" w:rsidRDefault="00567C3E" w:rsidP="00567C3E">
      <w:pPr>
        <w:pStyle w:val="W"/>
        <w:jc w:val="both"/>
        <w:rPr>
          <w:shd w:val="clear" w:color="auto" w:fill="FAFCFF"/>
        </w:rPr>
      </w:pPr>
      <w:bookmarkStart w:id="31" w:name="_Toc430868387"/>
      <w:r w:rsidRPr="001534A8">
        <w:rPr>
          <w:shd w:val="clear" w:color="auto" w:fill="FAFCFF"/>
        </w:rPr>
        <w:lastRenderedPageBreak/>
        <w:t xml:space="preserve">Wykres </w:t>
      </w:r>
      <w:r>
        <w:rPr>
          <w:shd w:val="clear" w:color="auto" w:fill="FAFCFF"/>
        </w:rPr>
        <w:t>7</w:t>
      </w:r>
      <w:r w:rsidRPr="001534A8">
        <w:rPr>
          <w:shd w:val="clear" w:color="auto" w:fill="FAFCFF"/>
        </w:rPr>
        <w:t xml:space="preserve">. Podmioty gospodarki narodowej na terenie ORSG </w:t>
      </w:r>
      <w:r w:rsidRPr="001534A8">
        <w:t>Powiatu Brodnickiego</w:t>
      </w:r>
      <w:r w:rsidRPr="001534A8">
        <w:rPr>
          <w:shd w:val="clear" w:color="auto" w:fill="FAFCFF"/>
        </w:rPr>
        <w:t xml:space="preserve"> według sekcji PKD w 2013 r.</w:t>
      </w:r>
      <w:bookmarkEnd w:id="31"/>
    </w:p>
    <w:p w:rsidR="00567C3E" w:rsidRPr="001534A8" w:rsidRDefault="00567C3E" w:rsidP="00567C3E">
      <w:pPr>
        <w:jc w:val="center"/>
        <w:rPr>
          <w:rFonts w:ascii="Garamond" w:hAnsi="Garamond"/>
          <w:color w:val="2A2A2A"/>
          <w:szCs w:val="16"/>
          <w:shd w:val="clear" w:color="auto" w:fill="FAFCFF"/>
        </w:rPr>
      </w:pPr>
      <w:r w:rsidRPr="001534A8">
        <w:rPr>
          <w:rFonts w:ascii="Garamond" w:hAnsi="Garamond"/>
          <w:noProof/>
          <w:color w:val="2A2A2A"/>
          <w:szCs w:val="16"/>
          <w:shd w:val="clear" w:color="auto" w:fill="FAFCFF"/>
        </w:rPr>
        <w:drawing>
          <wp:inline distT="0" distB="0" distL="0" distR="0" wp14:anchorId="28387EF8" wp14:editId="1A6BC42B">
            <wp:extent cx="3999506" cy="2051437"/>
            <wp:effectExtent l="0" t="0" r="0" b="0"/>
            <wp:docPr id="1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120" w:after="120"/>
        <w:jc w:val="both"/>
        <w:rPr>
          <w:rFonts w:ascii="Garamond" w:hAnsi="Garamond"/>
          <w:szCs w:val="16"/>
          <w:shd w:val="clear" w:color="auto" w:fill="FAFCFF"/>
        </w:rPr>
      </w:pPr>
      <w:r w:rsidRPr="001534A8">
        <w:rPr>
          <w:rFonts w:ascii="Garamond" w:hAnsi="Garamond"/>
          <w:szCs w:val="16"/>
          <w:shd w:val="clear" w:color="auto" w:fill="FAFCFF"/>
        </w:rPr>
        <w:t>Najważniejszymi branżami przemysłu i usług występującymi na terenie ORSG są</w:t>
      </w:r>
      <w:r w:rsidRPr="001534A8">
        <w:rPr>
          <w:rStyle w:val="Odwoanieprzypisudolnego"/>
          <w:rFonts w:ascii="Garamond" w:hAnsi="Garamond"/>
          <w:szCs w:val="16"/>
          <w:shd w:val="clear" w:color="auto" w:fill="FAFCFF"/>
        </w:rPr>
        <w:footnoteReference w:id="2"/>
      </w:r>
      <w:r w:rsidRPr="001534A8">
        <w:rPr>
          <w:rFonts w:ascii="Garamond" w:hAnsi="Garamond"/>
          <w:szCs w:val="16"/>
          <w:shd w:val="clear" w:color="auto" w:fill="FAFCFF"/>
        </w:rPr>
        <w:t>:</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cukierniczych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papieru i tektury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drukarstwo</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gumy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dla budownictwa z tworzyw sztucznych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wyrobów z tworzyw sztucznych, obróbka mechaniczna elementów metalowych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obróbka metali i nakładanie powłok na metale</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części i akcesoriów do pojazdów silnikowych</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mebli</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przetwarzanie i konserwowanie owoców i warzyw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odzieży dzianej</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pozostałych wyrobów chemicznych, produkcja żelatyny</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produkcja maszyn dla rolnictwa i leśnictwa</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roboty budowlane związane ze wznoszeniem budynków</w:t>
      </w:r>
    </w:p>
    <w:p w:rsidR="00567C3E" w:rsidRPr="001534A8" w:rsidRDefault="00567C3E" w:rsidP="00567C3E">
      <w:pPr>
        <w:pStyle w:val="Akapitzlist"/>
        <w:numPr>
          <w:ilvl w:val="0"/>
          <w:numId w:val="2"/>
        </w:numPr>
        <w:jc w:val="both"/>
        <w:rPr>
          <w:rFonts w:ascii="Garamond" w:hAnsi="Garamond"/>
          <w:szCs w:val="16"/>
          <w:shd w:val="clear" w:color="auto" w:fill="FAFCFF"/>
        </w:rPr>
      </w:pPr>
      <w:r w:rsidRPr="001534A8">
        <w:rPr>
          <w:rFonts w:ascii="Garamond" w:hAnsi="Garamond"/>
          <w:szCs w:val="16"/>
          <w:shd w:val="clear" w:color="auto" w:fill="FAFCFF"/>
        </w:rPr>
        <w:t>sprzedaż detaliczna</w:t>
      </w:r>
    </w:p>
    <w:p w:rsidR="00567C3E" w:rsidRPr="001534A8" w:rsidRDefault="00567C3E" w:rsidP="00567C3E">
      <w:pPr>
        <w:pStyle w:val="Nagwek2"/>
        <w:rPr>
          <w:color w:val="B1059D"/>
        </w:rPr>
      </w:pPr>
      <w:r w:rsidRPr="001534A8">
        <w:rPr>
          <w:color w:val="B1059D"/>
        </w:rPr>
        <w:t>Działalność przedsiębiorstw w obszarach inteligentnych specjalizacji</w:t>
      </w:r>
    </w:p>
    <w:p w:rsidR="00567C3E" w:rsidRPr="001534A8" w:rsidRDefault="00567C3E" w:rsidP="00567C3E">
      <w:pPr>
        <w:spacing w:before="20" w:after="20"/>
        <w:ind w:firstLine="708"/>
        <w:jc w:val="both"/>
        <w:rPr>
          <w:rFonts w:ascii="Garamond" w:hAnsi="Garamond"/>
        </w:rPr>
      </w:pPr>
      <w:r w:rsidRPr="001534A8">
        <w:rPr>
          <w:rFonts w:ascii="Garamond" w:hAnsi="Garamond"/>
        </w:rPr>
        <w:t>Regionalna Strategia Innowacji Województwa Kujawsko-Pomorskiego na lata 2014-2020 zakłada szczególne wsparcie dla branż zgodnych z tzw. inteligentnymi specjalizacjami regionu kujawsko-pomorskiego. Inteligentne specjalizacje są to obszary, które mają szczególnie istotny wpływ na rozwój gospodarczy regionu oraz posiadają silne zaplecze naukowe prowadzące wysoko zaawansowane badania, które mogą stanowić podstawę radykalnego rozwoju innowacyjności przedsiębiorstw</w:t>
      </w:r>
      <w:r w:rsidRPr="001534A8">
        <w:rPr>
          <w:rStyle w:val="Odwoanieprzypisudolnego"/>
          <w:rFonts w:ascii="Garamond" w:hAnsi="Garamond"/>
        </w:rPr>
        <w:footnoteReference w:id="3"/>
      </w:r>
      <w:r w:rsidRPr="001534A8">
        <w:rPr>
          <w:rFonts w:ascii="Garamond" w:hAnsi="Garamond"/>
        </w:rPr>
        <w:t xml:space="preserve">. </w:t>
      </w:r>
    </w:p>
    <w:p w:rsidR="00567C3E" w:rsidRPr="001534A8" w:rsidRDefault="00567C3E" w:rsidP="00567C3E">
      <w:pPr>
        <w:spacing w:after="20"/>
        <w:ind w:firstLine="708"/>
        <w:jc w:val="both"/>
        <w:rPr>
          <w:rFonts w:ascii="Garamond" w:hAnsi="Garamond"/>
        </w:rPr>
      </w:pPr>
      <w:r w:rsidRPr="001534A8">
        <w:rPr>
          <w:rFonts w:ascii="Garamond" w:hAnsi="Garamond"/>
        </w:rPr>
        <w:t>W Województwie Kujawsko-Pomorskim wyłoniono osiem następujących inteligentnych specjalizacji:</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Najlepsza bezpieczna żywność - przetwórstwo, nawozy i opakowania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Medycyna, usługi medyczne i turystyka zdrowotna</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lastRenderedPageBreak/>
        <w:t xml:space="preserve">Motoryzacja, urządzenia transportowe i automatyka przemysłowa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Narzędzia, formy wtryskowe, wyroby z tworzyw sztucznych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 xml:space="preserve">Przetwarzanie informacji, multimedia, programowanie, usługi ICT </w:t>
      </w:r>
    </w:p>
    <w:p w:rsidR="00567C3E" w:rsidRPr="001534A8" w:rsidRDefault="00567C3E" w:rsidP="00567C3E">
      <w:pPr>
        <w:pStyle w:val="Akapitzlist"/>
        <w:numPr>
          <w:ilvl w:val="0"/>
          <w:numId w:val="30"/>
        </w:numPr>
        <w:spacing w:before="20" w:after="20"/>
        <w:jc w:val="both"/>
        <w:rPr>
          <w:rFonts w:ascii="Garamond" w:hAnsi="Garamond"/>
        </w:rPr>
      </w:pPr>
      <w:proofErr w:type="spellStart"/>
      <w:r w:rsidRPr="001534A8">
        <w:rPr>
          <w:rFonts w:ascii="Garamond" w:hAnsi="Garamond"/>
        </w:rPr>
        <w:t>Biointeligentna</w:t>
      </w:r>
      <w:proofErr w:type="spellEnd"/>
      <w:r w:rsidRPr="001534A8">
        <w:rPr>
          <w:rFonts w:ascii="Garamond" w:hAnsi="Garamond"/>
        </w:rPr>
        <w:t xml:space="preserve"> specjalizacja - potencjał naturalny, środowisko, energetyka </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Transport, logistyka, handel - szlaki wodne i lądowe</w:t>
      </w:r>
    </w:p>
    <w:p w:rsidR="00567C3E" w:rsidRPr="001534A8" w:rsidRDefault="00567C3E" w:rsidP="00567C3E">
      <w:pPr>
        <w:pStyle w:val="Akapitzlist"/>
        <w:numPr>
          <w:ilvl w:val="0"/>
          <w:numId w:val="30"/>
        </w:numPr>
        <w:spacing w:before="20" w:after="20"/>
        <w:jc w:val="both"/>
        <w:rPr>
          <w:rFonts w:ascii="Garamond" w:hAnsi="Garamond"/>
        </w:rPr>
      </w:pPr>
      <w:r w:rsidRPr="001534A8">
        <w:rPr>
          <w:rFonts w:ascii="Garamond" w:hAnsi="Garamond"/>
        </w:rPr>
        <w:t>Dziedzictwo kulturowe, sztuka, przemysły kreatywne</w:t>
      </w:r>
    </w:p>
    <w:p w:rsidR="00567C3E" w:rsidRPr="001534A8" w:rsidRDefault="00567C3E" w:rsidP="00567C3E">
      <w:pPr>
        <w:spacing w:after="20"/>
        <w:ind w:firstLine="708"/>
        <w:jc w:val="both"/>
        <w:rPr>
          <w:rFonts w:ascii="Garamond" w:hAnsi="Garamond"/>
        </w:rPr>
      </w:pPr>
      <w:r w:rsidRPr="001534A8">
        <w:rPr>
          <w:rFonts w:ascii="Garamond" w:hAnsi="Garamond"/>
        </w:rPr>
        <w:t xml:space="preserve">Analizując największych pracodawców na terenie Powiatu Brodnickiego można wyłonić kilku, którzy prowadzą działalność gospodarczą w branżach zgodnych z inteligentnymi specjalizacjami. Są to m. in. </w:t>
      </w:r>
      <w:proofErr w:type="spellStart"/>
      <w:r w:rsidRPr="001534A8">
        <w:rPr>
          <w:rFonts w:ascii="Garamond" w:hAnsi="Garamond"/>
        </w:rPr>
        <w:t>Vorwerk</w:t>
      </w:r>
      <w:proofErr w:type="spellEnd"/>
      <w:r w:rsidRPr="001534A8">
        <w:rPr>
          <w:rFonts w:ascii="Garamond" w:hAnsi="Garamond"/>
        </w:rPr>
        <w:t xml:space="preserve"> </w:t>
      </w:r>
      <w:proofErr w:type="spellStart"/>
      <w:r w:rsidRPr="001534A8">
        <w:rPr>
          <w:rFonts w:ascii="Garamond" w:hAnsi="Garamond"/>
        </w:rPr>
        <w:t>Autotec</w:t>
      </w:r>
      <w:proofErr w:type="spellEnd"/>
      <w:r w:rsidRPr="001534A8">
        <w:rPr>
          <w:rFonts w:ascii="Garamond" w:hAnsi="Garamond"/>
        </w:rPr>
        <w:t xml:space="preserve"> Polska Sp. z o.o. (Motoryzacja, urządzenia transportowe i automatyka przemysłowa), Zakłady Sprzętu Motoryzacyjnego "Polmo" S.A. (Motoryzacja, urządzenia transportowe i automatyka przemysłowa) i WOK Sp. z o.o. S.K.A (Najlepsza bezpieczna żywność - przetwórstwo, nawozy i opakowania).</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Instytucje otoczenia biznesu</w:t>
      </w:r>
    </w:p>
    <w:p w:rsidR="00567C3E" w:rsidRPr="00CC0604" w:rsidRDefault="00567C3E" w:rsidP="00567C3E">
      <w:pPr>
        <w:autoSpaceDE w:val="0"/>
        <w:autoSpaceDN w:val="0"/>
        <w:adjustRightInd w:val="0"/>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Na terenie ORSG działają instytucje otoczenia biznesu, których celem jest przede wszystkim wsparcie finansowe nowotworzonych oraz działających już na lokalnym rynku firm.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 xml:space="preserve">Przedsiębiorcy mogą korzystać z usług Toruńskiego Funduszu Poręczeń Kredytowych sp. z o.o. oraz </w:t>
      </w:r>
      <w:proofErr w:type="spellStart"/>
      <w:r w:rsidRPr="00CC0604">
        <w:rPr>
          <w:rFonts w:ascii="Garamond" w:eastAsia="TimesNewRomanPSMT" w:hAnsi="Garamond" w:cs="TimesNewRomanPSMT"/>
        </w:rPr>
        <w:t>Subregionalnego</w:t>
      </w:r>
      <w:proofErr w:type="spellEnd"/>
      <w:r w:rsidRPr="00CC0604">
        <w:rPr>
          <w:rFonts w:ascii="Garamond" w:eastAsia="TimesNewRomanPSMT" w:hAnsi="Garamond" w:cs="TimesNewRomanPSMT"/>
        </w:rPr>
        <w:t xml:space="preserve"> Funduszu Pożyczkowego Kujawiak, którego celem jest wspieranie lokalnej aktywności gospodarczej poprzez ułatwienie przedsiębiorcom dostępu do zewnętrznych źródeł finansowania w postaci pożyczek. </w:t>
      </w:r>
    </w:p>
    <w:p w:rsidR="00567C3E" w:rsidRPr="00CC0604" w:rsidRDefault="00567C3E" w:rsidP="00567C3E">
      <w:pPr>
        <w:spacing w:after="120"/>
        <w:ind w:firstLine="709"/>
        <w:jc w:val="both"/>
        <w:rPr>
          <w:rFonts w:ascii="Garamond" w:eastAsia="TimesNewRomanPSMT" w:hAnsi="Garamond" w:cs="TimesNewRomanPSMT"/>
        </w:rPr>
      </w:pPr>
      <w:r w:rsidRPr="00CC0604">
        <w:rPr>
          <w:rFonts w:ascii="Garamond" w:eastAsia="TimesNewRomanPSMT" w:hAnsi="Garamond" w:cs="TimesNewRomanPSMT"/>
        </w:rPr>
        <w:t>Z podmiotów komercyjnych wymienić należy w szczególności banki. To od nich w dużej mierze zależy rozwój przedsiębiorstw, gdyż w ostatnich latach kredyty bankowe nadal pozostają najczęstszą formą finansowania inwestycji oraz bieżącej działalności sektora MŚP</w:t>
      </w:r>
      <w:r w:rsidRPr="00CC0604">
        <w:rPr>
          <w:rStyle w:val="Odwoanieprzypisudolnego"/>
          <w:rFonts w:ascii="Garamond" w:eastAsia="TimesNewRomanPSMT" w:hAnsi="Garamond" w:cs="TimesNewRomanPSMT"/>
        </w:rPr>
        <w:footnoteReference w:id="4"/>
      </w:r>
      <w:r w:rsidRPr="00CC0604">
        <w:rPr>
          <w:rFonts w:ascii="Garamond" w:eastAsia="TimesNewRomanPSMT" w:hAnsi="Garamond" w:cs="TimesNewRomanPSMT"/>
        </w:rPr>
        <w:t xml:space="preserve">. </w:t>
      </w:r>
    </w:p>
    <w:p w:rsidR="00567C3E" w:rsidRPr="00CC0604" w:rsidRDefault="00567C3E" w:rsidP="00567C3E">
      <w:pPr>
        <w:ind w:firstLine="708"/>
        <w:jc w:val="both"/>
        <w:rPr>
          <w:rFonts w:ascii="Garamond" w:eastAsia="TimesNewRomanPSMT" w:hAnsi="Garamond" w:cs="TimesNewRomanPSMT"/>
        </w:rPr>
      </w:pPr>
      <w:r w:rsidRPr="00CC0604">
        <w:rPr>
          <w:rFonts w:ascii="Garamond" w:eastAsia="TimesNewRomanPSMT" w:hAnsi="Garamond" w:cs="TimesNewRomanPSMT"/>
        </w:rPr>
        <w:t xml:space="preserve">Programy w zakresie rozwoju przedsiębiorczości i aktywizacji osób bezrobotnych, doradztwo zawodowe, szkolenia oraz warsztaty tematyczne prowadzi Powiatowy Urząd Pracy w Brodnicy. Jego oferta kierowana jest zarówno do osób pozostających bez zatrudnienia jak i małych podmiotów gospodarczych. </w:t>
      </w:r>
    </w:p>
    <w:p w:rsidR="00567C3E" w:rsidRPr="001534A8" w:rsidRDefault="00567C3E" w:rsidP="00567C3E">
      <w:pPr>
        <w:ind w:firstLine="708"/>
        <w:jc w:val="both"/>
        <w:rPr>
          <w:rFonts w:ascii="Garamond" w:hAnsi="Garamond" w:cs="Arial"/>
        </w:rPr>
      </w:pPr>
      <w:r w:rsidRPr="00CC0604">
        <w:rPr>
          <w:rFonts w:ascii="Garamond" w:hAnsi="Garamond" w:cs="Arial"/>
        </w:rPr>
        <w:t>System instytucji otoczenia biznesu na terenie ORSG tworzą przede wszystkim instytucje finansowe. W powiecie brakuje natomiast ośrodków przedsiębiorczości i innowacji, które wspierałyby powstawanie nowych oraz rozwój istniejących firm. ORSG cechuje się znacznym potencjałem w zakresie rozwoju sfery gospodarczej, w latach 2010-2013 liczba przedsiębiorstw wzrosła na jego terenie o 5,1%. Rozwój sektora otoczenia biznesu, szczególnie w mieście Brodnicy, gdzie występuje największe skoncentrowanie firm, mógłby przyczynić się do rozwoju przedsi</w:t>
      </w:r>
      <w:r>
        <w:rPr>
          <w:rFonts w:ascii="Garamond" w:hAnsi="Garamond" w:cs="Arial"/>
        </w:rPr>
        <w:t>ębiorczości na obszarze całego P</w:t>
      </w:r>
      <w:r w:rsidRPr="00CC0604">
        <w:rPr>
          <w:rFonts w:ascii="Garamond" w:hAnsi="Garamond" w:cs="Arial"/>
        </w:rPr>
        <w:t>owiatu.</w:t>
      </w:r>
      <w:r>
        <w:rPr>
          <w:rFonts w:ascii="Garamond" w:hAnsi="Garamond" w:cs="Arial"/>
        </w:rPr>
        <w:t xml:space="preserve">      </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Bezrobocie </w:t>
      </w:r>
    </w:p>
    <w:p w:rsidR="00567C3E" w:rsidRPr="001534A8" w:rsidRDefault="00567C3E" w:rsidP="00567C3E">
      <w:pPr>
        <w:ind w:firstLine="708"/>
        <w:jc w:val="both"/>
        <w:rPr>
          <w:rFonts w:ascii="Garamond" w:hAnsi="Garamond" w:cs="Arial"/>
        </w:rPr>
      </w:pPr>
      <w:r w:rsidRPr="001534A8">
        <w:rPr>
          <w:rFonts w:ascii="Garamond" w:hAnsi="Garamond" w:cs="Arial"/>
        </w:rPr>
        <w:t>W 2014 r. na terenie ORSG odnotowano stopę bezrobocia na poziomie 13,6%. Była ona niższa od wskaźnika wojewódzkiego (15,7%), natomiast wyższa od krajowego (11,5%). Analizując lata 2004-2014 można zauważyć, że najniższą stopę bezrobocia odnotowano w roku 2008 (12,1%). Był to czas stosunkowo dobrej koniunktury gospodarczej zarówno w Polsce jak i na świecie. Pogorszenie sytuacji ekonomicznej polskiej gospodarki na skutek globalnego kryzysu wpłynęło na wzrost liczby bezrobotnych w kraju, a także na terenie ORSG. W latach 2009-2013 stopa bezrobocia na ORSG oscylowała w granicach 14-15% i była niższa od wskaźnika dla województwa kujawsko-pomorskiego.</w:t>
      </w:r>
    </w:p>
    <w:p w:rsidR="00567C3E" w:rsidRPr="001534A8" w:rsidRDefault="00567C3E" w:rsidP="00567C3E">
      <w:pPr>
        <w:pStyle w:val="W"/>
      </w:pPr>
      <w:bookmarkStart w:id="32" w:name="_Toc430868388"/>
      <w:r w:rsidRPr="001534A8">
        <w:lastRenderedPageBreak/>
        <w:t xml:space="preserve">Wykres </w:t>
      </w:r>
      <w:r>
        <w:t>8</w:t>
      </w:r>
      <w:r w:rsidRPr="001534A8">
        <w:t>. Bezrobotni zarejestrowani oraz stopa bezrobocia</w:t>
      </w:r>
      <w:bookmarkEnd w:id="32"/>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33516875" wp14:editId="55212B3E">
            <wp:extent cx="4702175" cy="285591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pPr>
      <w:r w:rsidRPr="001534A8">
        <w:rPr>
          <w:rFonts w:ascii="Garamond" w:hAnsi="Garamond" w:cs="Arial"/>
        </w:rPr>
        <w:t>W 2013 r. na terenie ORSG na 100 osób w wieku produkcyjnym przypadało 9 osób bezrobotnych – w kraju było to 8 osób, a w województwie 11.</w:t>
      </w:r>
    </w:p>
    <w:p w:rsidR="00567C3E" w:rsidRPr="001534A8" w:rsidRDefault="00567C3E" w:rsidP="00567C3E">
      <w:pPr>
        <w:pStyle w:val="W"/>
      </w:pPr>
      <w:bookmarkStart w:id="33" w:name="_Toc430868389"/>
      <w:r w:rsidRPr="001534A8">
        <w:t xml:space="preserve">Wykres </w:t>
      </w:r>
      <w:r>
        <w:t>9</w:t>
      </w:r>
      <w:r w:rsidRPr="001534A8">
        <w:t>. Udział bezrobotnych zarejestrowanych w liczbie ludności w wieku produkcyjnym</w:t>
      </w:r>
      <w:bookmarkEnd w:id="33"/>
      <w:r w:rsidRPr="001534A8">
        <w:t xml:space="preserve"> </w:t>
      </w:r>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7484C216" wp14:editId="2416BAA8">
            <wp:extent cx="4132053" cy="2389517"/>
            <wp:effectExtent l="0" t="0" r="0" b="0"/>
            <wp:docPr id="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ind w:firstLine="708"/>
        <w:jc w:val="both"/>
        <w:rPr>
          <w:rFonts w:ascii="Garamond" w:hAnsi="Garamond" w:cs="Arial"/>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rPr>
        <w:t xml:space="preserve">Liczba osób bezrobotnych zamieszkujących teren ORSG w 2014 r. wyniosła 4 073, z czego 60,0% stanowiły kobiety. W grupie mieszkańców pozostających bez pracy przeważały osoby posiadające status bezrobotnego przez okres poniżej roku. Istotnym problemem występującym na obszarze było bezrobocie długotrwałe. W 2014 r. osoby pozostające bez pracy ponad rok stanowiły 39,5% bezrobotnych ORSG Powiatu Brodnickiego. Analizując strukturę bezrobotnych pod kątem wykształcenia, można zauważyć, że osoby z wykształceniem gimnazjalnym i poniżej oraz zasadniczym zawodowym stanowiły w 2014 r. aż 62,7% wszystkich mieszkańców ORSG pozostających bez pracy. </w:t>
      </w:r>
    </w:p>
    <w:p w:rsidR="00567C3E" w:rsidRPr="001534A8" w:rsidRDefault="00567C3E" w:rsidP="00567C3E">
      <w:pPr>
        <w:pStyle w:val="T"/>
      </w:pPr>
      <w:bookmarkStart w:id="34" w:name="_Toc430871993"/>
      <w:r w:rsidRPr="001534A8">
        <w:lastRenderedPageBreak/>
        <w:t xml:space="preserve">Tabela </w:t>
      </w:r>
      <w:r>
        <w:t>11</w:t>
      </w:r>
      <w:r w:rsidRPr="001534A8">
        <w:t>. Bezrobotni wg płci, wykształcenia i czasu pozostawania bez pracy w 2014 r.</w:t>
      </w:r>
      <w:bookmarkEnd w:id="34"/>
      <w:r w:rsidRPr="001534A8">
        <w:t xml:space="preserve"> </w:t>
      </w:r>
    </w:p>
    <w:tbl>
      <w:tblPr>
        <w:tblStyle w:val="Tabela-Siatka"/>
        <w:tblW w:w="4518" w:type="pct"/>
        <w:jc w:val="center"/>
        <w:tblLayout w:type="fixed"/>
        <w:tblLook w:val="00A0" w:firstRow="1" w:lastRow="0" w:firstColumn="1" w:lastColumn="0" w:noHBand="0" w:noVBand="0"/>
      </w:tblPr>
      <w:tblGrid>
        <w:gridCol w:w="1102"/>
        <w:gridCol w:w="866"/>
        <w:gridCol w:w="774"/>
        <w:gridCol w:w="720"/>
        <w:gridCol w:w="707"/>
        <w:gridCol w:w="709"/>
        <w:gridCol w:w="707"/>
        <w:gridCol w:w="709"/>
        <w:gridCol w:w="707"/>
        <w:gridCol w:w="712"/>
        <w:gridCol w:w="707"/>
        <w:gridCol w:w="848"/>
        <w:gridCol w:w="707"/>
        <w:gridCol w:w="707"/>
        <w:gridCol w:w="707"/>
        <w:gridCol w:w="707"/>
        <w:gridCol w:w="753"/>
      </w:tblGrid>
      <w:tr w:rsidR="00567C3E" w:rsidRPr="001534A8" w:rsidTr="00D32FA7">
        <w:trPr>
          <w:trHeight w:val="464"/>
          <w:jc w:val="center"/>
        </w:trPr>
        <w:tc>
          <w:tcPr>
            <w:tcW w:w="429" w:type="pct"/>
            <w:vMerge w:val="restart"/>
            <w:tcBorders>
              <w:top w:val="single" w:sz="4" w:space="0" w:color="824BB0"/>
              <w:left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918" w:type="pct"/>
            <w:gridSpan w:val="3"/>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Liczba osób bezrobotnych</w:t>
            </w:r>
          </w:p>
        </w:tc>
        <w:tc>
          <w:tcPr>
            <w:tcW w:w="1654" w:type="pct"/>
            <w:gridSpan w:val="6"/>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wieku w latach</w:t>
            </w:r>
          </w:p>
        </w:tc>
        <w:tc>
          <w:tcPr>
            <w:tcW w:w="605" w:type="pct"/>
            <w:gridSpan w:val="2"/>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czasu pozostawania bez pracy</w:t>
            </w:r>
          </w:p>
        </w:tc>
        <w:tc>
          <w:tcPr>
            <w:tcW w:w="1393" w:type="pct"/>
            <w:gridSpan w:val="5"/>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olor w:val="FFFFFF" w:themeColor="background1"/>
                <w:sz w:val="20"/>
                <w:szCs w:val="20"/>
              </w:rPr>
            </w:pPr>
            <w:r w:rsidRPr="001534A8">
              <w:rPr>
                <w:rFonts w:ascii="Garamond" w:hAnsi="Garamond"/>
                <w:color w:val="FFFFFF" w:themeColor="background1"/>
                <w:sz w:val="20"/>
                <w:szCs w:val="20"/>
              </w:rPr>
              <w:t>Bezrobotni wg wykształcenia</w:t>
            </w:r>
          </w:p>
        </w:tc>
      </w:tr>
      <w:tr w:rsidR="00567C3E" w:rsidRPr="001534A8" w:rsidTr="00D32FA7">
        <w:trPr>
          <w:cantSplit/>
          <w:trHeight w:val="1134"/>
          <w:jc w:val="center"/>
        </w:trPr>
        <w:tc>
          <w:tcPr>
            <w:tcW w:w="429" w:type="pct"/>
            <w:vMerge/>
            <w:tcBorders>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10" w:after="10"/>
              <w:jc w:val="center"/>
              <w:rPr>
                <w:rFonts w:ascii="Garamond" w:hAnsi="Garamond" w:cs="Arial"/>
                <w:bCs/>
                <w:color w:val="FFFFFF"/>
                <w:sz w:val="20"/>
                <w:szCs w:val="20"/>
              </w:rPr>
            </w:pPr>
          </w:p>
        </w:tc>
        <w:tc>
          <w:tcPr>
            <w:tcW w:w="337"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ogółem</w:t>
            </w:r>
          </w:p>
        </w:tc>
        <w:tc>
          <w:tcPr>
            <w:tcW w:w="30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mężczyźni</w:t>
            </w:r>
          </w:p>
        </w:tc>
        <w:tc>
          <w:tcPr>
            <w:tcW w:w="28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kobiety</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18-24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25-34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35-44</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45-54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55-59</w:t>
            </w:r>
          </w:p>
        </w:tc>
        <w:tc>
          <w:tcPr>
            <w:tcW w:w="27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60-64</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do roku</w:t>
            </w:r>
          </w:p>
        </w:tc>
        <w:tc>
          <w:tcPr>
            <w:tcW w:w="33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pow. roku</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wyższe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policealne i średnie zawodowe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średnie ogólnokształcące</w:t>
            </w:r>
          </w:p>
        </w:tc>
        <w:tc>
          <w:tcPr>
            <w:tcW w:w="275"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zasadnicze zawodowe</w:t>
            </w:r>
          </w:p>
        </w:tc>
        <w:tc>
          <w:tcPr>
            <w:tcW w:w="29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extDirection w:val="btLr"/>
            <w:vAlign w:val="center"/>
          </w:tcPr>
          <w:p w:rsidR="00567C3E" w:rsidRPr="001534A8" w:rsidRDefault="00567C3E" w:rsidP="00D32FA7">
            <w:pPr>
              <w:spacing w:before="10" w:after="10"/>
              <w:ind w:left="113" w:right="113"/>
              <w:jc w:val="center"/>
              <w:rPr>
                <w:rFonts w:ascii="Garamond" w:hAnsi="Garamond" w:cs="Arial"/>
                <w:bCs/>
                <w:color w:val="FFFFFF"/>
                <w:sz w:val="20"/>
                <w:szCs w:val="20"/>
              </w:rPr>
            </w:pPr>
            <w:r w:rsidRPr="001534A8">
              <w:rPr>
                <w:rFonts w:ascii="Garamond" w:hAnsi="Garamond" w:cs="Arial"/>
                <w:bCs/>
                <w:color w:val="FFFFFF"/>
                <w:sz w:val="20"/>
                <w:szCs w:val="20"/>
              </w:rPr>
              <w:t>gimnazjalne i poniżej</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Bartniczka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214</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83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Bobrowo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161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122</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151</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1 319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525</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794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278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806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379</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153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245</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Brzozie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78</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40</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110</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Górzno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66</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117</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Jabłonowo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586</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252</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349</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224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Osiek</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97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57</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52</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12</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144</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70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104</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Świedziebnia</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287</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111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176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51</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153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134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84</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93</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sz w:val="20"/>
                <w:szCs w:val="20"/>
              </w:rPr>
            </w:pPr>
            <w:r w:rsidRPr="001534A8">
              <w:rPr>
                <w:rFonts w:ascii="Garamond" w:hAnsi="Garamond"/>
                <w:sz w:val="20"/>
                <w:szCs w:val="20"/>
              </w:rPr>
              <w:t>Zbiczno</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292</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sz w:val="20"/>
                <w:szCs w:val="20"/>
              </w:rPr>
            </w:pPr>
            <w:r w:rsidRPr="001534A8">
              <w:rPr>
                <w:rFonts w:ascii="Garamond" w:hAnsi="Garamond" w:cs="Arial"/>
                <w:sz w:val="20"/>
                <w:szCs w:val="20"/>
              </w:rPr>
              <w:t>101</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191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64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88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55</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183</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109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24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56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sz w:val="20"/>
                <w:szCs w:val="20"/>
              </w:rPr>
            </w:pPr>
            <w:r w:rsidRPr="001534A8">
              <w:rPr>
                <w:rFonts w:ascii="Garamond" w:hAnsi="Garamond"/>
                <w:sz w:val="20"/>
                <w:szCs w:val="20"/>
              </w:rPr>
              <w:t>92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ORSG</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4 073</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1 627</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2 446</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873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1 157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843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678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393</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2 466</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1 607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347</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765</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409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1 230</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1 322</w:t>
            </w:r>
          </w:p>
        </w:tc>
      </w:tr>
      <w:tr w:rsidR="00567C3E" w:rsidRPr="001534A8" w:rsidTr="00D32FA7">
        <w:trPr>
          <w:trHeight w:val="227"/>
          <w:jc w:val="center"/>
        </w:trPr>
        <w:tc>
          <w:tcPr>
            <w:tcW w:w="429"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10" w:after="10"/>
              <w:rPr>
                <w:rFonts w:ascii="Garamond" w:hAnsi="Garamond"/>
                <w:b/>
                <w:sz w:val="18"/>
                <w:szCs w:val="20"/>
              </w:rPr>
            </w:pPr>
            <w:r w:rsidRPr="001534A8">
              <w:rPr>
                <w:rFonts w:ascii="Garamond" w:hAnsi="Garamond"/>
                <w:b/>
                <w:sz w:val="18"/>
                <w:szCs w:val="20"/>
              </w:rPr>
              <w:t>Kujawsko- Pomorskie</w:t>
            </w:r>
          </w:p>
        </w:tc>
        <w:tc>
          <w:tcPr>
            <w:tcW w:w="33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127 111</w:t>
            </w:r>
          </w:p>
        </w:tc>
        <w:tc>
          <w:tcPr>
            <w:tcW w:w="301"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57 033</w:t>
            </w:r>
          </w:p>
        </w:tc>
        <w:tc>
          <w:tcPr>
            <w:tcW w:w="28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70 078</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22 156</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35 099</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27 784</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24 014</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13 428</w:t>
            </w:r>
          </w:p>
        </w:tc>
        <w:tc>
          <w:tcPr>
            <w:tcW w:w="276"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4 630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73 411</w:t>
            </w:r>
          </w:p>
        </w:tc>
        <w:tc>
          <w:tcPr>
            <w:tcW w:w="330"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53 700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10 390</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24 473</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12 341</w:t>
            </w:r>
          </w:p>
        </w:tc>
        <w:tc>
          <w:tcPr>
            <w:tcW w:w="275"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38 653</w:t>
            </w:r>
          </w:p>
        </w:tc>
        <w:tc>
          <w:tcPr>
            <w:tcW w:w="29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10" w:after="10"/>
              <w:jc w:val="right"/>
              <w:rPr>
                <w:rFonts w:ascii="Garamond" w:hAnsi="Garamond" w:cs="Arial"/>
                <w:b/>
                <w:sz w:val="18"/>
                <w:szCs w:val="20"/>
              </w:rPr>
            </w:pPr>
            <w:r w:rsidRPr="001534A8">
              <w:rPr>
                <w:rFonts w:ascii="Garamond" w:hAnsi="Garamond" w:cs="Arial"/>
                <w:b/>
                <w:sz w:val="18"/>
                <w:szCs w:val="20"/>
              </w:rPr>
              <w:t>41 254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Wojewódzkiego Urzędu Pracy.</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Potrzeby rynku pracy</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analizach przeprowadzonych przez PUP w Brodnicy sklasyfikowano 537 zawodów występujących na terenie ORSG, z czego 165 (30,7%) było zawodami deficytowymi, 351 (65,4%) zawodami nadwyżkowymi oraz 21 (3,9%) zrównoważonymi</w:t>
      </w:r>
      <w:r w:rsidRPr="001534A8">
        <w:rPr>
          <w:rStyle w:val="Odwoanieprzypisudolnego"/>
          <w:rFonts w:ascii="Garamond" w:hAnsi="Garamond" w:cs="Arial"/>
        </w:rPr>
        <w:footnoteReference w:id="5"/>
      </w:r>
      <w:r w:rsidRPr="001534A8">
        <w:rPr>
          <w:rFonts w:ascii="Garamond" w:hAnsi="Garamond" w:cs="Arial"/>
        </w:rPr>
        <w:t xml:space="preserve">.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Zawodami deficytowymi czyli takim na które przedsiębiorcy zgłaszali największe zapotrzebowanie w I półroczu 2014 r. były m. in.: pomoc kuchenna, kierowca operator wózka widłowego oraz barman. Ze znalezieniem pracy problemy miały osoby wykonujące zawód ślusarza, rolnika czy kasjera handlowego, gdyż na rynku wystąpiła zbyt mały popyt pracodawców na osoby działające w tych dziedzinach.      </w:t>
      </w:r>
    </w:p>
    <w:p w:rsidR="00567C3E" w:rsidRDefault="00567C3E" w:rsidP="00567C3E">
      <w:pPr>
        <w:spacing w:after="120"/>
        <w:ind w:firstLine="709"/>
        <w:jc w:val="both"/>
        <w:rPr>
          <w:rFonts w:ascii="Garamond" w:hAnsi="Garamond" w:cs="Arial"/>
        </w:rPr>
      </w:pPr>
      <w:r w:rsidRPr="00CC0604">
        <w:rPr>
          <w:rFonts w:ascii="Garamond" w:hAnsi="Garamond" w:cs="Arial"/>
        </w:rPr>
        <w:t>W roku szkolnym 2012/2013 technika znajdujące się na terenie Powiatu kształciły najwięcej uczniów w zawodzie: ekonomisty, technika i informatyka. W tym czasie w szkołach zawodowych odnotowano najwyższy udział uczniów kształcących się w zawodach: stolarz, mechanik – operator pojazdów i maszyn rolniczych, kamieniarz i ślusarz.</w:t>
      </w:r>
    </w:p>
    <w:p w:rsidR="00567C3E" w:rsidRDefault="00567C3E" w:rsidP="00567C3E">
      <w:pPr>
        <w:pStyle w:val="T"/>
      </w:pPr>
      <w:bookmarkStart w:id="35" w:name="_Toc430871994"/>
      <w:r w:rsidRPr="00C94AC5">
        <w:t>Tabela</w:t>
      </w:r>
      <w:r>
        <w:t xml:space="preserve"> 12. </w:t>
      </w:r>
      <w:r w:rsidRPr="00C94AC5">
        <w:t>Zestawienie zawodów deficytowych i nadwyżkowych w powiecie brodnickim w I półroczu 2014 r.</w:t>
      </w:r>
      <w:bookmarkEnd w:id="35"/>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53"/>
        <w:gridCol w:w="1916"/>
        <w:gridCol w:w="2126"/>
        <w:gridCol w:w="1985"/>
      </w:tblGrid>
      <w:tr w:rsidR="00567C3E" w:rsidTr="00D32FA7">
        <w:trPr>
          <w:jc w:val="center"/>
        </w:trPr>
        <w:tc>
          <w:tcPr>
            <w:tcW w:w="2053" w:type="dxa"/>
            <w:tcBorders>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deficytowe w powiecie brodnickim</w:t>
            </w:r>
          </w:p>
        </w:tc>
        <w:tc>
          <w:tcPr>
            <w:tcW w:w="191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Zawody nadwyżkowe w powiecie brodnickim</w:t>
            </w:r>
          </w:p>
        </w:tc>
        <w:tc>
          <w:tcPr>
            <w:tcW w:w="2126" w:type="dxa"/>
            <w:tcBorders>
              <w:left w:val="single" w:sz="4" w:space="0" w:color="FFFFFF" w:themeColor="background1"/>
              <w:righ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techników o największej liczbie uczniów</w:t>
            </w:r>
          </w:p>
        </w:tc>
        <w:tc>
          <w:tcPr>
            <w:tcW w:w="1985" w:type="dxa"/>
            <w:tcBorders>
              <w:left w:val="single" w:sz="4" w:space="0" w:color="FFFFFF" w:themeColor="background1"/>
            </w:tcBorders>
            <w:shd w:val="clear" w:color="auto" w:fill="824BB0"/>
            <w:vAlign w:val="center"/>
          </w:tcPr>
          <w:p w:rsidR="00567C3E" w:rsidRPr="00CE6707" w:rsidRDefault="00567C3E" w:rsidP="00D32FA7">
            <w:pPr>
              <w:spacing w:before="40" w:after="40"/>
              <w:jc w:val="center"/>
              <w:rPr>
                <w:rFonts w:ascii="Garamond" w:hAnsi="Garamond"/>
                <w:color w:val="FFFFFF" w:themeColor="background1"/>
                <w:sz w:val="20"/>
              </w:rPr>
            </w:pPr>
            <w:r w:rsidRPr="00CE6707">
              <w:rPr>
                <w:rFonts w:ascii="Garamond" w:hAnsi="Garamond"/>
                <w:color w:val="FFFFFF" w:themeColor="background1"/>
                <w:sz w:val="20"/>
              </w:rPr>
              <w:t>Profile kształcenia zasadniczych szkół zawodowych o największej liczbie uczniów</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Pomoc kuchenna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Ślusarz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ekonomista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Stolarz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Kierowca operator wózków jezdnych</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Rolnik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logistyk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Mechanik – operator pojazdów i maszyn rolniczych </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Barman</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Kasjer handlowy</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informatyk</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Kamieniarz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Opiekun osoby starszej</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Stolarz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hotelarstwa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Ślusarz</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Robotnik gospodarczy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Cukiernik</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Technik budownictwa</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Monter elektronik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 xml:space="preserve">Operator wtryskarki </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Piekarz</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mechatronik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Elektryk</w:t>
            </w:r>
          </w:p>
        </w:tc>
      </w:tr>
      <w:tr w:rsidR="00567C3E" w:rsidTr="00D32FA7">
        <w:trPr>
          <w:jc w:val="center"/>
        </w:trPr>
        <w:tc>
          <w:tcPr>
            <w:tcW w:w="2053" w:type="dxa"/>
            <w:vAlign w:val="center"/>
          </w:tcPr>
          <w:p w:rsidR="00567C3E" w:rsidRPr="0051077E" w:rsidRDefault="00567C3E" w:rsidP="00D32FA7">
            <w:pPr>
              <w:spacing w:before="40" w:after="40"/>
              <w:rPr>
                <w:rFonts w:ascii="Garamond" w:hAnsi="Garamond" w:cs="Arial"/>
                <w:sz w:val="20"/>
              </w:rPr>
            </w:pPr>
            <w:r>
              <w:rPr>
                <w:rFonts w:ascii="Garamond" w:hAnsi="Garamond" w:cs="Arial"/>
                <w:sz w:val="20"/>
              </w:rPr>
              <w:t>Brukarz</w:t>
            </w:r>
          </w:p>
        </w:tc>
        <w:tc>
          <w:tcPr>
            <w:tcW w:w="1916" w:type="dxa"/>
            <w:vAlign w:val="center"/>
          </w:tcPr>
          <w:p w:rsidR="00567C3E" w:rsidRPr="0051077E" w:rsidRDefault="00567C3E" w:rsidP="00D32FA7">
            <w:pPr>
              <w:spacing w:before="40" w:after="40"/>
              <w:rPr>
                <w:rFonts w:ascii="Garamond" w:hAnsi="Garamond" w:cs="Arial"/>
                <w:sz w:val="20"/>
              </w:rPr>
            </w:pPr>
            <w:r w:rsidRPr="0051077E">
              <w:rPr>
                <w:rFonts w:ascii="Garamond" w:hAnsi="Garamond" w:cs="Arial"/>
                <w:sz w:val="20"/>
              </w:rPr>
              <w:t>Mechanik pojazdów samochodowych</w:t>
            </w:r>
          </w:p>
        </w:tc>
        <w:tc>
          <w:tcPr>
            <w:tcW w:w="2126"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 xml:space="preserve">Technik rolnik </w:t>
            </w:r>
          </w:p>
        </w:tc>
        <w:tc>
          <w:tcPr>
            <w:tcW w:w="1985" w:type="dxa"/>
            <w:vAlign w:val="center"/>
          </w:tcPr>
          <w:p w:rsidR="00567C3E" w:rsidRPr="004E502D" w:rsidRDefault="00567C3E" w:rsidP="00D32FA7">
            <w:pPr>
              <w:spacing w:before="40" w:after="40"/>
              <w:rPr>
                <w:rFonts w:ascii="Garamond" w:hAnsi="Garamond"/>
                <w:sz w:val="20"/>
              </w:rPr>
            </w:pPr>
            <w:r w:rsidRPr="004E502D">
              <w:rPr>
                <w:rFonts w:ascii="Garamond" w:hAnsi="Garamond"/>
                <w:sz w:val="20"/>
              </w:rPr>
              <w:t>Lakiernik</w:t>
            </w:r>
          </w:p>
        </w:tc>
      </w:tr>
    </w:tbl>
    <w:p w:rsidR="00567C3E" w:rsidRPr="00CE6707" w:rsidRDefault="00567C3E" w:rsidP="00567C3E">
      <w:pPr>
        <w:spacing w:before="40" w:after="120"/>
        <w:jc w:val="both"/>
        <w:rPr>
          <w:rFonts w:ascii="Garamond" w:hAnsi="Garamond"/>
          <w:sz w:val="20"/>
          <w:szCs w:val="20"/>
        </w:rPr>
      </w:pPr>
      <w:r w:rsidRPr="00CE6707">
        <w:rPr>
          <w:rFonts w:ascii="Garamond" w:hAnsi="Garamond"/>
          <w:sz w:val="20"/>
          <w:szCs w:val="20"/>
        </w:rPr>
        <w:t xml:space="preserve">Źródło: </w:t>
      </w:r>
      <w:r w:rsidRPr="00CE6707">
        <w:rPr>
          <w:rFonts w:ascii="Garamond" w:hAnsi="Garamond"/>
          <w:i/>
          <w:sz w:val="20"/>
          <w:szCs w:val="20"/>
        </w:rPr>
        <w:t>Monitoring zawodów deficytowych i nadwyżkowych w powiecie brodnickim w I półroczu 2014 r., PUP w Brodnicy, Informacja o stanie i realizacji zadań oświatowych powiatu brodnickiego w roku szkolnym 2012/2013 Starostwa Powiatowego w Brodnicy</w:t>
      </w:r>
      <w:r>
        <w:rPr>
          <w:rFonts w:ascii="Garamond" w:hAnsi="Garamond"/>
          <w:i/>
          <w:sz w:val="20"/>
          <w:szCs w:val="20"/>
        </w:rPr>
        <w:t>.</w:t>
      </w:r>
    </w:p>
    <w:p w:rsidR="00567C3E" w:rsidRPr="00524CCE" w:rsidRDefault="00567C3E" w:rsidP="00567C3E">
      <w:pPr>
        <w:spacing w:after="120"/>
        <w:ind w:firstLine="708"/>
        <w:jc w:val="both"/>
        <w:rPr>
          <w:rFonts w:ascii="Garamond" w:hAnsi="Garamond"/>
        </w:rPr>
      </w:pPr>
      <w:r w:rsidRPr="00CC0604">
        <w:rPr>
          <w:rFonts w:ascii="Garamond" w:hAnsi="Garamond"/>
        </w:rPr>
        <w:t>Analizując zestawione w powyższej tabeli dane można stwierdzić, że na terenie ORSG występuje niewystarczający stopień dopasowania kierunków kształcenia w technikach i zasadniczych szkołach zawodowych do potrzeb rynku pracy. Szkoły te często oferują uczniom naukę w zawodach nadwyżkowych lub takich, na które aktualnie na rynku nie ma zwiększonego zapotrzebowania.</w:t>
      </w:r>
      <w:r>
        <w:rPr>
          <w:rFonts w:ascii="Garamond" w:hAnsi="Garamond"/>
        </w:rPr>
        <w:t xml:space="preserve"> </w:t>
      </w:r>
    </w:p>
    <w:p w:rsidR="00567C3E" w:rsidRPr="001534A8" w:rsidRDefault="00567C3E" w:rsidP="00567C3E">
      <w:pPr>
        <w:spacing w:after="120"/>
        <w:jc w:val="both"/>
        <w:rPr>
          <w:rFonts w:ascii="Garamond" w:hAnsi="Garamond"/>
        </w:rPr>
      </w:pPr>
      <w:r w:rsidRPr="001534A8">
        <w:rPr>
          <w:rFonts w:ascii="Garamond" w:hAnsi="Garamond"/>
        </w:rPr>
        <w:t>W 2014 r. pracodawcy najczęściej deklarowali chęć zatrudnienia osób, które ukończą szkolenia z zakresu</w:t>
      </w:r>
      <w:r w:rsidRPr="001534A8">
        <w:rPr>
          <w:rStyle w:val="Odwoanieprzypisudolnego"/>
          <w:rFonts w:ascii="Garamond" w:hAnsi="Garamond"/>
        </w:rPr>
        <w:footnoteReference w:id="6"/>
      </w:r>
      <w:r w:rsidRPr="001534A8">
        <w:rPr>
          <w:rFonts w:ascii="Garamond" w:hAnsi="Garamond"/>
        </w:rPr>
        <w:t>:</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szwaczka w tapicerstwie</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lastRenderedPageBreak/>
        <w:t>kierowca samochodu ciężarowego z uprawnieniami z zakresu prawa jazdy kat. C+E oraz świadectwem kwalifikacji w zakresie przewozu rzeczy</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koparko – ładowarek</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wózków jezdniowych</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MAG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spawania metodą TIG</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koparki jednonaczyniowej</w:t>
      </w:r>
    </w:p>
    <w:p w:rsidR="00567C3E" w:rsidRPr="001534A8" w:rsidRDefault="00567C3E" w:rsidP="00567C3E">
      <w:pPr>
        <w:pStyle w:val="Akapitzlist"/>
        <w:numPr>
          <w:ilvl w:val="0"/>
          <w:numId w:val="4"/>
        </w:numPr>
        <w:spacing w:after="120"/>
        <w:jc w:val="both"/>
        <w:rPr>
          <w:rFonts w:ascii="Garamond" w:hAnsi="Garamond"/>
        </w:rPr>
      </w:pPr>
      <w:r w:rsidRPr="001534A8">
        <w:rPr>
          <w:rFonts w:ascii="Garamond" w:hAnsi="Garamond"/>
        </w:rPr>
        <w:t>operator ładowarki jednonaczyniowej</w:t>
      </w:r>
    </w:p>
    <w:p w:rsidR="00567C3E" w:rsidRPr="001534A8" w:rsidRDefault="00567C3E" w:rsidP="00567C3E">
      <w:pPr>
        <w:spacing w:after="120"/>
        <w:jc w:val="both"/>
        <w:rPr>
          <w:rFonts w:ascii="Garamond" w:hAnsi="Garamond"/>
        </w:rPr>
      </w:pPr>
      <w:r w:rsidRPr="001534A8">
        <w:rPr>
          <w:rFonts w:ascii="Garamond" w:hAnsi="Garamond"/>
        </w:rPr>
        <w:t>Pracodawcy deklarowali też chęć zatrudnienia pojedynczych osób po kursach takich jak:</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wydawanie produktów w sklepach zielarsko-medycznych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intensywny kurs języka niemieckiego dla opiekunów osób starszych</w:t>
      </w:r>
    </w:p>
    <w:p w:rsidR="00567C3E" w:rsidRPr="001534A8"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kurs florystyczny</w:t>
      </w:r>
    </w:p>
    <w:p w:rsidR="00567C3E" w:rsidRDefault="00567C3E" w:rsidP="00567C3E">
      <w:pPr>
        <w:pStyle w:val="Akapitzlist"/>
        <w:numPr>
          <w:ilvl w:val="0"/>
          <w:numId w:val="5"/>
        </w:numPr>
        <w:spacing w:after="120"/>
        <w:ind w:left="709" w:hanging="283"/>
        <w:jc w:val="both"/>
        <w:rPr>
          <w:rFonts w:ascii="Garamond" w:hAnsi="Garamond"/>
        </w:rPr>
      </w:pPr>
      <w:r w:rsidRPr="001534A8">
        <w:rPr>
          <w:rFonts w:ascii="Garamond" w:hAnsi="Garamond"/>
        </w:rPr>
        <w:t>instruktor rekreacji ruchowej – specjalność fitness</w:t>
      </w:r>
    </w:p>
    <w:p w:rsidR="00567C3E" w:rsidRPr="001534A8" w:rsidRDefault="00567C3E" w:rsidP="00567C3E">
      <w:pPr>
        <w:spacing w:before="240" w:after="240"/>
        <w:jc w:val="both"/>
        <w:rPr>
          <w:rFonts w:ascii="Garamond" w:hAnsi="Garamond"/>
          <w:b/>
          <w:color w:val="B1059D"/>
          <w:sz w:val="24"/>
        </w:rPr>
      </w:pPr>
      <w:r w:rsidRPr="001534A8">
        <w:rPr>
          <w:rFonts w:ascii="Garamond" w:hAnsi="Garamond"/>
          <w:b/>
          <w:color w:val="B1059D"/>
          <w:sz w:val="24"/>
        </w:rPr>
        <w:t xml:space="preserve">Oferta terenów inwestycyjnych </w:t>
      </w:r>
    </w:p>
    <w:p w:rsidR="00567C3E" w:rsidRPr="001534A8" w:rsidRDefault="00567C3E" w:rsidP="00567C3E">
      <w:pPr>
        <w:spacing w:after="120"/>
        <w:ind w:firstLine="709"/>
        <w:jc w:val="both"/>
        <w:rPr>
          <w:rFonts w:ascii="Garamond" w:hAnsi="Garamond"/>
        </w:rPr>
      </w:pPr>
      <w:r w:rsidRPr="001534A8">
        <w:rPr>
          <w:rFonts w:ascii="Garamond" w:hAnsi="Garamond"/>
        </w:rPr>
        <w:t xml:space="preserve">O potencjale gospodarczym danego obszaru w dużej mierze decyduje dostępność terenów inwestycyjnych dla nowych inwestorów. Największą ofertę w tym zakresie posiadają: gmina miejska i wiejska Brodnica oraz gmina Górzno. Każda z nich oferuje kilka działek przeznaczonych pod różnorodne funkcje m.in. mieszkaniową, usługową czy przemysłową. </w:t>
      </w:r>
    </w:p>
    <w:p w:rsidR="00567C3E" w:rsidRPr="001534A8" w:rsidRDefault="00567C3E" w:rsidP="00567C3E">
      <w:pPr>
        <w:spacing w:after="120"/>
        <w:ind w:firstLine="708"/>
        <w:jc w:val="both"/>
        <w:rPr>
          <w:rFonts w:ascii="Garamond" w:hAnsi="Garamond"/>
        </w:rPr>
      </w:pPr>
      <w:r w:rsidRPr="001534A8">
        <w:rPr>
          <w:rFonts w:ascii="Garamond" w:hAnsi="Garamond"/>
        </w:rPr>
        <w:t>Na terenie Brodnicy realizowana jest inwestycja polegająca na utworzeniu Parku Przemysłowego Ustronie. Teren został podzielony na uzbrojone działki inwestycyjne i przeznaczony pod działalność: produkcyjną, składową, magazynową, usługową i handlową. Brodnicki Park Przemysłowy znajduje się w dogodnym dla przedsiębiorców i inwestorów miejscu. Jest skomunikowany z drogą krajową nr 15 i drogą wojewódzką nr 560. W jego pobliżu znajduje się oczyszczalnia ścieków i wysypisko.</w:t>
      </w:r>
    </w:p>
    <w:p w:rsidR="00567C3E" w:rsidRPr="001534A8" w:rsidRDefault="00567C3E" w:rsidP="00567C3E">
      <w:pPr>
        <w:spacing w:after="120"/>
        <w:ind w:firstLine="708"/>
        <w:jc w:val="both"/>
        <w:rPr>
          <w:rFonts w:ascii="Garamond" w:hAnsi="Garamond"/>
        </w:rPr>
      </w:pPr>
      <w:r w:rsidRPr="001534A8">
        <w:rPr>
          <w:rFonts w:ascii="Garamond" w:hAnsi="Garamond"/>
        </w:rPr>
        <w:t>Pozostałe gminy ORSG posiadają w swojej ofercie pojedyncze działki lub nie dysponują terenami inwestycyjnymi.</w:t>
      </w:r>
    </w:p>
    <w:p w:rsidR="00567C3E" w:rsidRPr="001534A8" w:rsidRDefault="00567C3E" w:rsidP="00567C3E">
      <w:pPr>
        <w:spacing w:after="120"/>
        <w:ind w:firstLine="708"/>
        <w:jc w:val="both"/>
        <w:rPr>
          <w:rFonts w:ascii="Garamond" w:hAnsi="Garamond"/>
          <w:b/>
        </w:rPr>
      </w:pPr>
      <w:r w:rsidRPr="001534A8">
        <w:rPr>
          <w:rFonts w:ascii="Garamond" w:hAnsi="Garamond"/>
          <w:b/>
        </w:rPr>
        <w:t>Wykaz terenów inwestycyjnych dla poszczególnych gmin znajduje się w Załączniku nr 2 do Strategii.</w:t>
      </w:r>
    </w:p>
    <w:p w:rsidR="00567C3E" w:rsidRPr="001534A8" w:rsidRDefault="00567C3E" w:rsidP="00567C3E">
      <w:pPr>
        <w:pStyle w:val="Nagwek2"/>
        <w:rPr>
          <w:color w:val="B1059D"/>
        </w:rPr>
      </w:pPr>
      <w:r w:rsidRPr="001534A8">
        <w:rPr>
          <w:color w:val="B1059D"/>
        </w:rPr>
        <w:t>Kondycja przedsiębiorstw. Bariery i potrzeby rozwojowe</w:t>
      </w:r>
    </w:p>
    <w:p w:rsidR="00567C3E" w:rsidRPr="001534A8" w:rsidRDefault="00567C3E" w:rsidP="00567C3E">
      <w:pPr>
        <w:spacing w:after="120"/>
        <w:ind w:firstLine="709"/>
        <w:jc w:val="both"/>
        <w:rPr>
          <w:rFonts w:ascii="Garamond" w:hAnsi="Garamond"/>
          <w:b/>
        </w:rPr>
      </w:pPr>
      <w:r w:rsidRPr="001534A8">
        <w:rPr>
          <w:rFonts w:ascii="Garamond" w:hAnsi="Garamond"/>
        </w:rPr>
        <w:t xml:space="preserve">Aby poznać aktualną kondycje finansową lokalnych firm oraz ich potrzeby i bariery rozwojowe, wpływające w ogromnym stopniu na rozwój gospodarczy obszaru, przeprowadzono ankietę wśród przedsiębiorstw. </w:t>
      </w:r>
      <w:r w:rsidRPr="001534A8">
        <w:rPr>
          <w:rFonts w:ascii="Garamond" w:hAnsi="Garamond"/>
          <w:b/>
        </w:rPr>
        <w:t>Wzór ankiety stanowi Załącznik nr 1</w:t>
      </w:r>
      <w:r>
        <w:rPr>
          <w:rFonts w:ascii="Garamond" w:hAnsi="Garamond"/>
          <w:b/>
        </w:rPr>
        <w:t>7</w:t>
      </w:r>
      <w:r w:rsidRPr="001534A8">
        <w:rPr>
          <w:rFonts w:ascii="Garamond" w:hAnsi="Garamond"/>
          <w:b/>
        </w:rPr>
        <w:t xml:space="preserve"> do niniejszej Strategii.</w:t>
      </w:r>
    </w:p>
    <w:p w:rsidR="00567C3E" w:rsidRPr="001534A8" w:rsidRDefault="00567C3E" w:rsidP="00567C3E">
      <w:pPr>
        <w:spacing w:after="120"/>
        <w:ind w:firstLine="709"/>
        <w:jc w:val="both"/>
        <w:rPr>
          <w:rFonts w:ascii="Garamond" w:hAnsi="Garamond"/>
        </w:rPr>
      </w:pPr>
      <w:r w:rsidRPr="001534A8">
        <w:rPr>
          <w:rFonts w:ascii="Garamond" w:hAnsi="Garamond"/>
        </w:rPr>
        <w:t xml:space="preserve">Największą grupę respondentów, bo aż 38% stanowiły osoby samozatrudnione. W ankiecie wzięły udział także mikroprzedsiębiorstwa (31%), małe przedsiębiorstwa (26%) oraz jedna średnia firma i jedno duże przedsiębiorstwo. </w:t>
      </w:r>
    </w:p>
    <w:p w:rsidR="00567C3E" w:rsidRPr="001534A8" w:rsidRDefault="00567C3E" w:rsidP="00567C3E">
      <w:pPr>
        <w:spacing w:after="120"/>
        <w:ind w:firstLine="709"/>
        <w:jc w:val="both"/>
        <w:rPr>
          <w:rFonts w:ascii="Garamond" w:hAnsi="Garamond"/>
        </w:rPr>
      </w:pPr>
      <w:r w:rsidRPr="001534A8">
        <w:rPr>
          <w:rFonts w:ascii="Garamond" w:hAnsi="Garamond"/>
        </w:rPr>
        <w:t>Osoby biorące udział w badaniu ankietowym, jako dominującą branżę, w której działają najczęściej wskazywały:</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Handel hurtowy i detaliczny; naprawę pojazdów samochodowych, włączając motocykle (20% ankietowanych)</w:t>
      </w:r>
    </w:p>
    <w:p w:rsidR="00567C3E" w:rsidRPr="001534A8" w:rsidRDefault="00567C3E" w:rsidP="00567C3E">
      <w:pPr>
        <w:pStyle w:val="Nagwek2"/>
        <w:numPr>
          <w:ilvl w:val="0"/>
          <w:numId w:val="29"/>
        </w:numPr>
        <w:spacing w:before="0" w:after="0" w:line="276" w:lineRule="auto"/>
        <w:rPr>
          <w:b w:val="0"/>
          <w:color w:val="auto"/>
          <w:sz w:val="22"/>
          <w:szCs w:val="22"/>
        </w:rPr>
      </w:pPr>
      <w:r w:rsidRPr="001534A8">
        <w:rPr>
          <w:b w:val="0"/>
          <w:color w:val="auto"/>
          <w:sz w:val="22"/>
          <w:szCs w:val="22"/>
        </w:rPr>
        <w:t>Pozostałą działalność usługową (17% ankietowanych)</w:t>
      </w:r>
    </w:p>
    <w:p w:rsidR="00567C3E" w:rsidRPr="001534A8" w:rsidRDefault="00567C3E" w:rsidP="00567C3E">
      <w:pPr>
        <w:pStyle w:val="Akapitzlist"/>
        <w:numPr>
          <w:ilvl w:val="0"/>
          <w:numId w:val="29"/>
        </w:numPr>
        <w:rPr>
          <w:rFonts w:ascii="Garamond" w:hAnsi="Garamond"/>
        </w:rPr>
      </w:pPr>
      <w:r w:rsidRPr="001534A8">
        <w:rPr>
          <w:rFonts w:ascii="Garamond" w:hAnsi="Garamond"/>
        </w:rPr>
        <w:t>Budownictwo (15% ankietowanych)</w:t>
      </w:r>
    </w:p>
    <w:p w:rsidR="00567C3E" w:rsidRPr="001534A8" w:rsidRDefault="00567C3E" w:rsidP="00567C3E">
      <w:pPr>
        <w:pStyle w:val="Akapitzlist"/>
        <w:numPr>
          <w:ilvl w:val="0"/>
          <w:numId w:val="29"/>
        </w:numPr>
        <w:spacing w:after="120"/>
        <w:ind w:left="714" w:hanging="357"/>
        <w:rPr>
          <w:rFonts w:ascii="Garamond" w:hAnsi="Garamond"/>
        </w:rPr>
      </w:pPr>
      <w:r w:rsidRPr="001534A8">
        <w:rPr>
          <w:rFonts w:ascii="Garamond" w:hAnsi="Garamond"/>
        </w:rPr>
        <w:lastRenderedPageBreak/>
        <w:t>Rolnictwo, leśnictwo, łowiectwo i rybactwo (10% ankietowanych)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sytuację finansową ankietowanych przedsiębiorstw, zauważyć można tu pewną stagnację. Większość respondentów zarówno na pytanie o sprzedaż, jak i o wynik finansowy, odpowiedziała, że w przeciągu ostatnich dwóch lat nie uległy one zmianie. </w:t>
      </w:r>
    </w:p>
    <w:p w:rsidR="00567C3E" w:rsidRPr="001534A8" w:rsidRDefault="00567C3E" w:rsidP="00567C3E">
      <w:pPr>
        <w:spacing w:after="120"/>
        <w:ind w:firstLine="709"/>
        <w:jc w:val="both"/>
        <w:rPr>
          <w:rFonts w:ascii="Garamond" w:hAnsi="Garamond"/>
        </w:rPr>
      </w:pPr>
      <w:r w:rsidRPr="001534A8">
        <w:rPr>
          <w:rFonts w:ascii="Garamond" w:hAnsi="Garamond"/>
          <w:szCs w:val="16"/>
          <w:shd w:val="clear" w:color="auto" w:fill="FAFCFF"/>
        </w:rPr>
        <w:t xml:space="preserve">W części ankiety dotyczącej barier rozwoju przedsiębiorstwa, ankietowane firmy wskazały, że największym problemem są wysokie koszty pracy (28,9%). Innymi najczęściej wskazywanymi barierami były: brak rynków zbytu (14,4%), ograniczony dostęp do środków finansowych (12,2%) oraz biurokracja centralna (10,0%). Problem dla przedsiębiorców stanowi także niedostatecznie rozwinięta infrastruktura drogowa, wodno-kanalizacyjna, energetyczna i gazowa.   </w:t>
      </w:r>
    </w:p>
    <w:p w:rsidR="00567C3E" w:rsidRPr="001534A8" w:rsidRDefault="00567C3E" w:rsidP="00567C3E">
      <w:pPr>
        <w:pStyle w:val="W"/>
      </w:pPr>
      <w:bookmarkStart w:id="36" w:name="_Toc430868390"/>
      <w:r w:rsidRPr="001534A8">
        <w:t xml:space="preserve">Wykres </w:t>
      </w:r>
      <w:r>
        <w:t>10</w:t>
      </w:r>
      <w:r w:rsidRPr="001534A8">
        <w:t>. Bariery rozwoju podmiotów gospodarczych na terenie ORSG Powiatu Brodnickiego</w:t>
      </w:r>
      <w:bookmarkEnd w:id="36"/>
    </w:p>
    <w:p w:rsidR="00567C3E" w:rsidRPr="001534A8" w:rsidRDefault="00567C3E" w:rsidP="00567C3E">
      <w:pPr>
        <w:spacing w:before="240"/>
        <w:jc w:val="center"/>
        <w:rPr>
          <w:rFonts w:ascii="Garamond" w:hAnsi="Garamond"/>
          <w:b/>
          <w:color w:val="B1059D"/>
          <w:sz w:val="24"/>
          <w:szCs w:val="16"/>
          <w:shd w:val="clear" w:color="auto" w:fill="FAFCFF"/>
        </w:rPr>
      </w:pPr>
      <w:r w:rsidRPr="001534A8">
        <w:rPr>
          <w:rFonts w:ascii="Garamond" w:hAnsi="Garamond"/>
          <w:b/>
          <w:noProof/>
          <w:color w:val="B1059D"/>
          <w:sz w:val="24"/>
          <w:szCs w:val="16"/>
          <w:shd w:val="clear" w:color="auto" w:fill="FAFCFF"/>
        </w:rPr>
        <w:drawing>
          <wp:inline distT="0" distB="0" distL="0" distR="0" wp14:anchorId="170391D4" wp14:editId="7EFE40D6">
            <wp:extent cx="4230094" cy="2043485"/>
            <wp:effectExtent l="0" t="0" r="0" b="0"/>
            <wp:docPr id="2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7C3E" w:rsidRPr="001534A8" w:rsidRDefault="00567C3E" w:rsidP="00567C3E">
      <w:pPr>
        <w:spacing w:before="120"/>
        <w:jc w:val="both"/>
        <w:rPr>
          <w:rFonts w:ascii="Garamond" w:hAnsi="Garamond"/>
          <w:i/>
          <w:sz w:val="20"/>
          <w:szCs w:val="16"/>
          <w:shd w:val="clear" w:color="auto" w:fill="FAFCFF"/>
        </w:rPr>
      </w:pPr>
      <w:r w:rsidRPr="001534A8">
        <w:rPr>
          <w:rFonts w:ascii="Garamond" w:hAnsi="Garamond"/>
          <w:sz w:val="20"/>
          <w:szCs w:val="16"/>
          <w:shd w:val="clear" w:color="auto" w:fill="FAFCFF"/>
        </w:rPr>
        <w:t xml:space="preserve">Źródło: </w:t>
      </w:r>
      <w:r w:rsidRPr="001534A8">
        <w:rPr>
          <w:rFonts w:ascii="Garamond" w:hAnsi="Garamond"/>
          <w:i/>
          <w:sz w:val="20"/>
          <w:szCs w:val="16"/>
          <w:shd w:val="clear" w:color="auto" w:fill="FAFCFF"/>
        </w:rPr>
        <w:t>Ankieta dla przedsiębiorców z powiatu brodnickiego – 03.2015r.</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7B0A553D" wp14:editId="5674FCF8">
                  <wp:extent cx="539654" cy="540000"/>
                  <wp:effectExtent l="19050" t="0" r="0" b="0"/>
                  <wp:docPr id="17"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 xml:space="preserve">W powiecie występuje wysoka dynamika przyrostu liczby podmiotów gospodarczych. W latach 2010-2013 ORSG Powiatu Brodnickiego charakteryzował się wyższym odsetkiem wzrostu przedsiębiorstw (5,1%) niż województwo (2,8%) i kraj (4,1%). Najliczniejszą grupę podmiotów gospodarczych (94,3%) stanowią mikro i małe firmy zatrudniające do 10 pracowników. </w:t>
            </w:r>
          </w:p>
          <w:p w:rsidR="00567C3E" w:rsidRPr="001534A8" w:rsidRDefault="00567C3E" w:rsidP="00D32FA7">
            <w:pPr>
              <w:pStyle w:val="Domylnie"/>
              <w:spacing w:line="240" w:lineRule="auto"/>
              <w:jc w:val="both"/>
              <w:rPr>
                <w:rFonts w:ascii="Garamond" w:hAnsi="Garamond" w:cs="Garamond"/>
                <w:color w:val="000000"/>
                <w:sz w:val="20"/>
                <w:szCs w:val="20"/>
              </w:rPr>
            </w:pPr>
            <w:r w:rsidRPr="001534A8">
              <w:rPr>
                <w:rFonts w:ascii="Garamond" w:hAnsi="Garamond" w:cs="Garamond"/>
                <w:color w:val="000000"/>
                <w:sz w:val="20"/>
                <w:szCs w:val="20"/>
              </w:rPr>
              <w:t>Wśród potrzeb inwestycyjnych, przedsiębiorcy</w:t>
            </w:r>
            <w:r>
              <w:rPr>
                <w:rFonts w:ascii="Garamond" w:hAnsi="Garamond" w:cs="Garamond"/>
                <w:color w:val="000000"/>
                <w:sz w:val="20"/>
                <w:szCs w:val="20"/>
              </w:rPr>
              <w:t xml:space="preserve"> z P</w:t>
            </w:r>
            <w:r w:rsidRPr="001534A8">
              <w:rPr>
                <w:rFonts w:ascii="Garamond" w:hAnsi="Garamond" w:cs="Garamond"/>
                <w:color w:val="000000"/>
                <w:sz w:val="20"/>
                <w:szCs w:val="20"/>
              </w:rPr>
              <w:t xml:space="preserve">owiatu </w:t>
            </w:r>
            <w:r>
              <w:rPr>
                <w:rFonts w:ascii="Garamond" w:hAnsi="Garamond" w:cs="Garamond"/>
                <w:color w:val="000000"/>
                <w:sz w:val="20"/>
                <w:szCs w:val="20"/>
              </w:rPr>
              <w:t>B</w:t>
            </w:r>
            <w:r w:rsidRPr="001534A8">
              <w:rPr>
                <w:rFonts w:ascii="Garamond" w:hAnsi="Garamond" w:cs="Garamond"/>
                <w:color w:val="000000"/>
                <w:sz w:val="20"/>
                <w:szCs w:val="20"/>
              </w:rPr>
              <w:t>rodnickiego wskazują przede wszystkim zakup maszyn i urządzeń oraz budowę lub rozbudowę. Znaczna część deklaruje także chęć zatrudnienia nowych pracowników.</w:t>
            </w:r>
            <w:r w:rsidRPr="001534A8">
              <w:rPr>
                <w:rFonts w:ascii="Garamond" w:hAnsi="Garamond"/>
                <w:color w:val="auto"/>
                <w:sz w:val="20"/>
                <w:szCs w:val="20"/>
              </w:rPr>
              <w:t xml:space="preserve"> Przedsiębiorcy widzą d</w:t>
            </w:r>
            <w:r w:rsidRPr="001534A8">
              <w:rPr>
                <w:rFonts w:ascii="Garamond" w:hAnsi="Garamond" w:cs="Garamond"/>
                <w:color w:val="000000"/>
                <w:sz w:val="20"/>
                <w:szCs w:val="20"/>
              </w:rPr>
              <w:t xml:space="preserve">użo mniejsze potrzeby w zakresie zakupu nowoczesnych technologii. </w:t>
            </w:r>
          </w:p>
          <w:p w:rsidR="00567C3E" w:rsidRPr="001534A8" w:rsidRDefault="00567C3E" w:rsidP="00D32FA7">
            <w:pPr>
              <w:pStyle w:val="Domylnie"/>
              <w:spacing w:line="240" w:lineRule="auto"/>
              <w:jc w:val="both"/>
              <w:rPr>
                <w:rFonts w:ascii="Garamond" w:hAnsi="Garamond"/>
                <w:sz w:val="20"/>
              </w:rPr>
            </w:pPr>
            <w:r w:rsidRPr="001534A8">
              <w:rPr>
                <w:rFonts w:ascii="Garamond" w:hAnsi="Garamond"/>
                <w:color w:val="auto"/>
                <w:sz w:val="20"/>
                <w:szCs w:val="20"/>
              </w:rPr>
              <w:t xml:space="preserve">Główne bariery, które w największym stopniu hamują rozwój gospodarczy obszaru to: wysokie koszty pracy, brak rynków zbytu, ograniczony dostęp do środków finansowych oraz biurokracja centralna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6119A104" wp14:editId="2F42F803">
                  <wp:extent cx="539654" cy="540000"/>
                  <wp:effectExtent l="19050" t="0" r="0" b="0"/>
                  <wp:docPr id="1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Z analizy rynku pracy wynika, że na terenie ORSG Powiatu Brodnickiego występuje nierównowaga między zapotrzebowaniem pracodawców na pracowników wykonujących określone zawody, a ich podażą. Częściowo wynika ona z faktu, że wykwalifikowani pracownicy z Powiatu wyjeżdżają w poszukiwaniu pracy do większych miast. Zjawisko emigracji dobrze wykształconej i wykwalifikowanej siły roboczej prowadzi do wzmocnienia potencjału gospodarczego województwa i kraju. Może ono jednak negatywnie wpływać na sytuację w Powiecie, gdyż zapotrzebowanie lokalnych firm na odpowiednio przeszkolonych pracowników pozostaje niezaspokojone. </w:t>
            </w:r>
          </w:p>
          <w:p w:rsidR="00567C3E" w:rsidRPr="001534A8" w:rsidRDefault="00567C3E" w:rsidP="00D32FA7">
            <w:pPr>
              <w:spacing w:before="40" w:after="40"/>
              <w:jc w:val="both"/>
              <w:rPr>
                <w:rFonts w:ascii="Garamond" w:hAnsi="Garamond"/>
                <w:sz w:val="20"/>
              </w:rPr>
            </w:pPr>
            <w:r w:rsidRPr="001534A8">
              <w:rPr>
                <w:rFonts w:ascii="Garamond" w:hAnsi="Garamond"/>
                <w:sz w:val="20"/>
              </w:rPr>
              <w:t xml:space="preserve">Nie mniej ważne jest pogłębienie współpracy szkół i placówek kształcenia zawodowego z otoczeniem społeczno-gospodarczym. Wzajemna kooperacja pozwoli dostosować rozwój kwalifikacji uczniów do potrzeb i wymagań rynku pracy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37315199" wp14:editId="7A14317F">
                  <wp:extent cx="539654" cy="540000"/>
                  <wp:effectExtent l="19050" t="0" r="0" b="0"/>
                  <wp:docPr id="21"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rPr>
            </w:pPr>
            <w:r w:rsidRPr="001534A8">
              <w:rPr>
                <w:rFonts w:ascii="Garamond" w:hAnsi="Garamond"/>
                <w:sz w:val="20"/>
              </w:rPr>
              <w:t>W zmniejszeniu liczby zawodów deficytowych na terenie ORSG pomocna mogłaby być realizacja pozaszkolnych form kształcenia ustawicznego czyli kursów zawodowych dla osób dorosłych. W związku z tym, że 60% bezrobotnych w powiecie stanowią kobiety, należałoby dostosować ofertę kursów i szkoleń do ich potrzeb. Uzyskanie i uzupełnienie wiedzy, umiejętności oraz kwalifikacji pozwoliłoby łatwiej znaleźć osobom pozostającym bez pracy zatrudnienie oraz wpłynęłoby na zmniejszenie bezrobocia na terenie ORSG</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73BBC9F2" wp14:editId="063F5003">
                  <wp:extent cx="539654" cy="540000"/>
                  <wp:effectExtent l="19050" t="0" r="0" b="0"/>
                  <wp:docPr id="28"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Arial"/>
                <w:bCs/>
                <w:sz w:val="20"/>
                <w:szCs w:val="32"/>
              </w:rPr>
              <w:t>Niski poziom przedsi</w:t>
            </w:r>
            <w:r w:rsidRPr="001534A8">
              <w:rPr>
                <w:rFonts w:ascii="Garamond" w:hAnsi="Garamond" w:cs="Arial"/>
                <w:sz w:val="20"/>
                <w:szCs w:val="32"/>
              </w:rPr>
              <w:t>ę</w:t>
            </w:r>
            <w:r w:rsidRPr="001534A8">
              <w:rPr>
                <w:rFonts w:ascii="Garamond" w:hAnsi="Garamond" w:cs="Arial"/>
                <w:bCs/>
                <w:sz w:val="20"/>
                <w:szCs w:val="32"/>
              </w:rPr>
              <w:t>biorczo</w:t>
            </w:r>
            <w:r w:rsidRPr="001534A8">
              <w:rPr>
                <w:rFonts w:ascii="Garamond" w:hAnsi="Garamond" w:cs="Arial"/>
                <w:sz w:val="20"/>
                <w:szCs w:val="32"/>
              </w:rPr>
              <w:t>ś</w:t>
            </w:r>
            <w:r w:rsidRPr="001534A8">
              <w:rPr>
                <w:rFonts w:ascii="Garamond" w:hAnsi="Garamond" w:cs="Arial"/>
                <w:bCs/>
                <w:sz w:val="20"/>
                <w:szCs w:val="32"/>
              </w:rPr>
              <w:t>ci na obszarach wiejskich powoduje dysproporcje między liczbą osób bezrobotnych występujących w miastach ORSG, a tymi które zamieszkują tereny wiejskie. W miastach działa więcej podmiotów gospodarczych co wpływa na ich niższy wskaźnik bezrobocia</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5ED49BF" wp14:editId="3B33093E">
                  <wp:extent cx="539654" cy="540000"/>
                  <wp:effectExtent l="19050" t="0" r="0" b="0"/>
                  <wp:docPr id="30" name="Obraz 25"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cs="Arial"/>
                <w:bCs/>
                <w:sz w:val="20"/>
                <w:szCs w:val="32"/>
              </w:rPr>
            </w:pPr>
            <w:r w:rsidRPr="001534A8">
              <w:rPr>
                <w:rFonts w:ascii="Garamond" w:hAnsi="Garamond" w:cs="Arial"/>
                <w:bCs/>
                <w:sz w:val="20"/>
                <w:szCs w:val="32"/>
              </w:rPr>
              <w:t xml:space="preserve">W 2014 r. w Powiecie wysoki odsetek w strukturze bezrobotnych stanowiły osoby młode, do 25 roku życia (21,4%). Wskaźnik ten przewyższał średnią dla województwa (17,4%). Udział osób z wykształceniem zasadniczym zawodowym oraz gimnazjalnym i poniżej w ogólnej liczbie bezrobotnych był także wysoki i kształtował się na poziomie 62,7% (podobny wskaźnik odnotowano dla województwa – 62,9%)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FF655BC" wp14:editId="1843C858">
                  <wp:extent cx="539654" cy="540000"/>
                  <wp:effectExtent l="19050" t="0" r="0" b="0"/>
                  <wp:docPr id="31"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sz w:val="20"/>
              </w:rPr>
              <w:t>W powiecie działa niewielka liczba instytucji otoczenia biznesu, większość z nich znajduje się w Brodnicy. Należy zadbać o to, aby dostosować ofertę instytucji otoczenia biznesu do potrzeb istniejących i nowopowstających firm. Rozwój przedsiębiorstw wpłynie na poprawę sytuacji społeczno-gospodarczej regionu</w:t>
            </w:r>
          </w:p>
        </w:tc>
      </w:tr>
    </w:tbl>
    <w:p w:rsidR="00567C3E" w:rsidRPr="001534A8" w:rsidRDefault="00567C3E" w:rsidP="00567C3E">
      <w:pPr>
        <w:rPr>
          <w:rFonts w:ascii="Garamond" w:hAnsi="Garamond" w:cs="Arial"/>
          <w:color w:val="FFFFFF" w:themeColor="background1"/>
        </w:rPr>
      </w:pPr>
      <w:r w:rsidRPr="001534A8">
        <w:rPr>
          <w:rFonts w:ascii="Garamond" w:hAnsi="Garamond" w:cs="Arial"/>
          <w:color w:val="FFFFFF" w:themeColor="background1"/>
        </w:rPr>
        <w:t>--</w:t>
      </w:r>
    </w:p>
    <w:p w:rsidR="00567C3E" w:rsidRPr="001534A8" w:rsidRDefault="00567C3E" w:rsidP="00567C3E">
      <w:pPr>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37" w:name="_Toc415228157"/>
            <w:bookmarkStart w:id="38" w:name="_Toc419705517"/>
            <w:r w:rsidRPr="001534A8">
              <w:lastRenderedPageBreak/>
              <w:t>Pomoc społeczna</w:t>
            </w:r>
            <w:bookmarkEnd w:id="37"/>
            <w:bookmarkEnd w:id="38"/>
          </w:p>
        </w:tc>
        <w:tc>
          <w:tcPr>
            <w:tcW w:w="4606" w:type="dxa"/>
          </w:tcPr>
          <w:p w:rsidR="00567C3E" w:rsidRPr="001534A8" w:rsidRDefault="00567C3E" w:rsidP="00D32FA7">
            <w:pPr>
              <w:jc w:val="center"/>
              <w:rPr>
                <w:rFonts w:ascii="Garamond" w:hAnsi="Garamond" w:cs="Arial"/>
                <w:b/>
                <w:color w:val="824BB0"/>
                <w:sz w:val="28"/>
              </w:rPr>
            </w:pPr>
            <w:r w:rsidRPr="001534A8">
              <w:object w:dxaOrig="1950" w:dyaOrig="1650">
                <v:shape id="_x0000_i1027" type="#_x0000_t75" style="width:99.75pt;height:84pt" o:ole="">
                  <v:imagedata r:id="rId44" o:title=""/>
                </v:shape>
                <o:OLEObject Type="Embed" ProgID="PBrush" ShapeID="_x0000_i1027" DrawAspect="Content" ObjectID="_1592972275" r:id="rId45"/>
              </w:object>
            </w:r>
          </w:p>
        </w:tc>
      </w:tr>
    </w:tbl>
    <w:p w:rsidR="00567C3E" w:rsidRPr="001534A8" w:rsidRDefault="00567C3E" w:rsidP="00567C3E">
      <w:pPr>
        <w:spacing w:before="120" w:after="120"/>
        <w:ind w:firstLine="709"/>
        <w:jc w:val="both"/>
        <w:rPr>
          <w:rFonts w:ascii="Garamond" w:hAnsi="Garamond"/>
        </w:rPr>
      </w:pPr>
      <w:r w:rsidRPr="001534A8">
        <w:rPr>
          <w:rFonts w:ascii="Garamond" w:hAnsi="Garamond"/>
        </w:rPr>
        <w:t>W obszarze zadań z zakresu pomocy społecznej jest obowiązek udzielania pomocy osobom i rodzinom znajdującym się w trudnej sytuacji życiowej. Na przestrzeni ostatnich kilku lat ogólna liczba rodzin i osób w rodzinach korzystających z pomocy społecznej utrzymywała się na stałym, dość wysokim poziomie. W 2014 r. na ORSG z pomocy społecznej korzystało łącznie 3 188 rodzin, z liczbą osób w rodzinach wynoszącą 9 626 osób.</w:t>
      </w:r>
    </w:p>
    <w:p w:rsidR="00567C3E" w:rsidRPr="001534A8" w:rsidRDefault="00567C3E" w:rsidP="00567C3E">
      <w:pPr>
        <w:spacing w:before="120" w:after="120"/>
        <w:ind w:firstLine="709"/>
        <w:jc w:val="both"/>
        <w:rPr>
          <w:rFonts w:ascii="Garamond" w:hAnsi="Garamond"/>
        </w:rPr>
      </w:pPr>
      <w:r w:rsidRPr="001534A8">
        <w:rPr>
          <w:rFonts w:ascii="Garamond" w:hAnsi="Garamond"/>
        </w:rPr>
        <w:t xml:space="preserve">W układzie przestrzennym zauważalne jest umiarkowane zróżnicowanie stopnia korzystania z pomocy społecznej. Analizując liczbę osób korzystających z tego typu wsparcia w stosunku do ogólnej liczby mieszkańców w każdej z gmin ORSG, poza miastem Brodnicą i gminą Górzno, odsetek ten jest na poziomie kilkunastu procent. Najgorsza sytuacja pod tym względem występuje w gminach Brzozie, Jabłonowo Pomorskie, Świedziebnia i Zbiczno, gdzie 17% mieszkańców tychże gmin korzysta z pomocy społecznej. </w:t>
      </w:r>
    </w:p>
    <w:p w:rsidR="00567C3E" w:rsidRPr="001534A8" w:rsidRDefault="00567C3E" w:rsidP="00567C3E">
      <w:pPr>
        <w:pStyle w:val="T"/>
      </w:pPr>
      <w:bookmarkStart w:id="39" w:name="_Toc430871995"/>
      <w:r w:rsidRPr="001534A8">
        <w:t>Tabela 1</w:t>
      </w:r>
      <w:r>
        <w:t>3</w:t>
      </w:r>
      <w:r w:rsidRPr="001534A8">
        <w:t>. Liczba rodzin i liczba osób w rodzinach korzystająca z pomocy społecznej w gminach ORSG Powiatu Brodnickiego</w:t>
      </w:r>
      <w:bookmarkEnd w:id="39"/>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08"/>
        <w:gridCol w:w="1410"/>
        <w:gridCol w:w="1412"/>
        <w:gridCol w:w="1410"/>
        <w:gridCol w:w="1408"/>
        <w:gridCol w:w="1540"/>
      </w:tblGrid>
      <w:tr w:rsidR="00567C3E" w:rsidRPr="001534A8" w:rsidTr="00D32FA7">
        <w:trPr>
          <w:trHeight w:val="275"/>
          <w:jc w:val="center"/>
        </w:trPr>
        <w:tc>
          <w:tcPr>
            <w:tcW w:w="1135" w:type="pct"/>
            <w:vMerge w:val="restart"/>
            <w:tcBorders>
              <w:top w:val="single" w:sz="4" w:space="0" w:color="FFFFFF"/>
              <w:left w:val="single" w:sz="4" w:space="0" w:color="824BB0"/>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Jednostka terytorialna</w:t>
            </w:r>
          </w:p>
        </w:tc>
        <w:tc>
          <w:tcPr>
            <w:tcW w:w="1519"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2010</w:t>
            </w:r>
          </w:p>
        </w:tc>
        <w:tc>
          <w:tcPr>
            <w:tcW w:w="151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2014</w:t>
            </w:r>
          </w:p>
        </w:tc>
        <w:tc>
          <w:tcPr>
            <w:tcW w:w="829" w:type="pct"/>
            <w:vMerge w:val="restart"/>
            <w:tcBorders>
              <w:top w:val="single" w:sz="4" w:space="0" w:color="FFFFFF"/>
              <w:left w:val="single" w:sz="4" w:space="0" w:color="FFFFFF"/>
              <w:right w:val="single" w:sz="4" w:space="0" w:color="824BB0"/>
            </w:tcBorders>
            <w:shd w:val="clear" w:color="auto" w:fill="824BB0"/>
            <w:vAlign w:val="center"/>
          </w:tcPr>
          <w:p w:rsidR="00567C3E" w:rsidRPr="001534A8" w:rsidRDefault="00567C3E" w:rsidP="00D32FA7">
            <w:pPr>
              <w:pStyle w:val="Akapitzlist"/>
              <w:spacing w:before="40" w:after="40"/>
              <w:ind w:left="0"/>
              <w:jc w:val="center"/>
              <w:rPr>
                <w:rFonts w:ascii="Garamond" w:hAnsi="Garamond" w:cs="Calibri"/>
                <w:color w:val="FFFFFF"/>
                <w:sz w:val="20"/>
                <w:szCs w:val="20"/>
              </w:rPr>
            </w:pPr>
            <w:r w:rsidRPr="001534A8">
              <w:rPr>
                <w:rFonts w:ascii="Garamond" w:hAnsi="Garamond" w:cs="Calibri"/>
                <w:color w:val="FFFFFF"/>
                <w:sz w:val="20"/>
                <w:szCs w:val="20"/>
              </w:rPr>
              <w:t>Odsetek osób korzystających ze wsparcia pomocy społecznej w stosunku do ogólnej liczby mieszkańców Gminy</w:t>
            </w:r>
          </w:p>
        </w:tc>
      </w:tr>
      <w:tr w:rsidR="00567C3E" w:rsidRPr="001534A8" w:rsidTr="00D32FA7">
        <w:trPr>
          <w:trHeight w:val="156"/>
          <w:jc w:val="center"/>
        </w:trPr>
        <w:tc>
          <w:tcPr>
            <w:tcW w:w="1135" w:type="pct"/>
            <w:vMerge/>
            <w:tcBorders>
              <w:top w:val="single" w:sz="4" w:space="0" w:color="FFFFFF"/>
              <w:left w:val="single" w:sz="4" w:space="0" w:color="824BB0"/>
              <w:bottom w:val="single" w:sz="4" w:space="0" w:color="FFFFFF"/>
              <w:right w:val="single" w:sz="4" w:space="0" w:color="FFFFFF"/>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6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759"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rodzin</w:t>
            </w:r>
          </w:p>
        </w:tc>
        <w:tc>
          <w:tcPr>
            <w:tcW w:w="758"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r w:rsidRPr="001534A8">
              <w:rPr>
                <w:rFonts w:ascii="Garamond" w:hAnsi="Garamond" w:cs="Calibri"/>
                <w:color w:val="FFFFFF"/>
                <w:sz w:val="20"/>
                <w:szCs w:val="20"/>
              </w:rPr>
              <w:t>Liczba osób w rodzinach</w:t>
            </w:r>
          </w:p>
        </w:tc>
        <w:tc>
          <w:tcPr>
            <w:tcW w:w="829" w:type="pct"/>
            <w:vMerge/>
            <w:tcBorders>
              <w:left w:val="single" w:sz="4" w:space="0" w:color="FFFFFF"/>
              <w:bottom w:val="single" w:sz="4" w:space="0" w:color="FFFFFF"/>
              <w:right w:val="single" w:sz="4" w:space="0" w:color="824BB0"/>
            </w:tcBorders>
            <w:shd w:val="clear" w:color="auto" w:fill="824BB0"/>
          </w:tcPr>
          <w:p w:rsidR="00567C3E" w:rsidRPr="001534A8" w:rsidRDefault="00567C3E" w:rsidP="00D32FA7">
            <w:pPr>
              <w:pStyle w:val="Akapitzlist"/>
              <w:spacing w:before="40" w:after="40"/>
              <w:ind w:left="0"/>
              <w:contextualSpacing w:val="0"/>
              <w:jc w:val="center"/>
              <w:rPr>
                <w:rFonts w:ascii="Garamond" w:hAnsi="Garamond" w:cs="Calibri"/>
                <w:color w:val="FFFFFF"/>
                <w:sz w:val="20"/>
                <w:szCs w:val="20"/>
              </w:rPr>
            </w:pPr>
          </w:p>
        </w:tc>
      </w:tr>
      <w:tr w:rsidR="00567C3E" w:rsidRPr="001534A8" w:rsidTr="00D32FA7">
        <w:trPr>
          <w:trHeight w:val="275"/>
          <w:jc w:val="center"/>
        </w:trPr>
        <w:tc>
          <w:tcPr>
            <w:tcW w:w="1135" w:type="pct"/>
            <w:tcBorders>
              <w:top w:val="single" w:sz="4" w:space="0" w:color="FFFFFF"/>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211</w:t>
            </w:r>
          </w:p>
        </w:tc>
        <w:tc>
          <w:tcPr>
            <w:tcW w:w="760"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735</w:t>
            </w:r>
          </w:p>
        </w:tc>
        <w:tc>
          <w:tcPr>
            <w:tcW w:w="75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175</w:t>
            </w:r>
          </w:p>
        </w:tc>
        <w:tc>
          <w:tcPr>
            <w:tcW w:w="758"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571</w:t>
            </w:r>
          </w:p>
        </w:tc>
        <w:tc>
          <w:tcPr>
            <w:tcW w:w="829" w:type="pct"/>
            <w:tcBorders>
              <w:top w:val="single" w:sz="4" w:space="0" w:color="FFFFFF"/>
            </w:tcBorders>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752</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207</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743</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993</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2 583</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992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2 395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363</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1 274</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339</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1065</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14%</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730</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189</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658</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122</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372</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122</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311</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8%</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512</w:t>
            </w:r>
          </w:p>
        </w:tc>
        <w:tc>
          <w:tcPr>
            <w:tcW w:w="760"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1 811</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487</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1 574</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194</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639</w:t>
            </w:r>
          </w:p>
        </w:tc>
        <w:tc>
          <w:tcPr>
            <w:tcW w:w="75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195</w:t>
            </w:r>
          </w:p>
        </w:tc>
        <w:tc>
          <w:tcPr>
            <w:tcW w:w="758"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596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259</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1 064</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902</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278</w:t>
            </w:r>
          </w:p>
        </w:tc>
        <w:tc>
          <w:tcPr>
            <w:tcW w:w="760"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981</w:t>
            </w:r>
          </w:p>
        </w:tc>
        <w:tc>
          <w:tcPr>
            <w:tcW w:w="75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262</w:t>
            </w:r>
          </w:p>
        </w:tc>
        <w:tc>
          <w:tcPr>
            <w:tcW w:w="758"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819</w:t>
            </w:r>
          </w:p>
        </w:tc>
        <w:tc>
          <w:tcPr>
            <w:tcW w:w="829" w:type="pct"/>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rPr>
          <w:trHeight w:val="275"/>
          <w:jc w:val="center"/>
        </w:trPr>
        <w:tc>
          <w:tcPr>
            <w:tcW w:w="1135" w:type="pct"/>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ORSG</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3 308</w:t>
            </w:r>
          </w:p>
        </w:tc>
        <w:tc>
          <w:tcPr>
            <w:tcW w:w="760"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10 941</w:t>
            </w:r>
          </w:p>
        </w:tc>
        <w:tc>
          <w:tcPr>
            <w:tcW w:w="759"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3 188</w:t>
            </w:r>
          </w:p>
        </w:tc>
        <w:tc>
          <w:tcPr>
            <w:tcW w:w="758" w:type="pct"/>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9 626</w:t>
            </w:r>
          </w:p>
        </w:tc>
        <w:tc>
          <w:tcPr>
            <w:tcW w:w="829" w:type="pct"/>
            <w:vAlign w:val="center"/>
          </w:tcPr>
          <w:p w:rsidR="00567C3E" w:rsidRPr="001534A8" w:rsidRDefault="00567C3E" w:rsidP="00D32FA7">
            <w:pPr>
              <w:pStyle w:val="Akapitzlist"/>
              <w:spacing w:before="40" w:after="40"/>
              <w:ind w:left="0"/>
              <w:contextualSpacing w:val="0"/>
              <w:jc w:val="right"/>
              <w:rPr>
                <w:rFonts w:ascii="Garamond" w:hAnsi="Garamond" w:cs="Calibri"/>
                <w:b/>
                <w:sz w:val="20"/>
                <w:szCs w:val="20"/>
              </w:rPr>
            </w:pPr>
            <w:r w:rsidRPr="001534A8">
              <w:rPr>
                <w:rFonts w:ascii="Garamond" w:hAnsi="Garamond" w:cs="Calibri"/>
                <w:b/>
                <w:sz w:val="20"/>
                <w:szCs w:val="20"/>
              </w:rPr>
              <w:t>14%</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 na podstawie danych ośrodków pomocy społecznej gmin z terenu ORSG oraz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Dominującym czynnikiem przyznawania pomocy społecznej na ORSG jest bezrobocie i ubóstwo. Kolejne, najczęściej występujące to: niepełnosprawność, długotrwała lub ciężka choroba, bezradność w sprawach opiekuńczo-wychowawczych i potrzeba ochrony macierzyństwa.  </w:t>
      </w:r>
    </w:p>
    <w:p w:rsidR="00567C3E" w:rsidRPr="001534A8" w:rsidRDefault="00567C3E" w:rsidP="00567C3E">
      <w:pPr>
        <w:pStyle w:val="T"/>
      </w:pPr>
    </w:p>
    <w:p w:rsidR="00567C3E" w:rsidRPr="001534A8" w:rsidRDefault="00567C3E" w:rsidP="00567C3E">
      <w:pPr>
        <w:pStyle w:val="T"/>
      </w:pPr>
      <w:bookmarkStart w:id="40" w:name="_Toc430871996"/>
      <w:r w:rsidRPr="001534A8">
        <w:lastRenderedPageBreak/>
        <w:t>Tabela 1</w:t>
      </w:r>
      <w:r>
        <w:t>4</w:t>
      </w:r>
      <w:r w:rsidRPr="001534A8">
        <w:t>. Przyczyny korzystania z pomocy społecznej w gminach ORSG Powiatu Brodnickiego w 2014 r. (liczba rodzin)</w:t>
      </w:r>
      <w:bookmarkEnd w:id="40"/>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948"/>
        <w:gridCol w:w="580"/>
        <w:gridCol w:w="539"/>
        <w:gridCol w:w="537"/>
        <w:gridCol w:w="578"/>
        <w:gridCol w:w="539"/>
        <w:gridCol w:w="537"/>
        <w:gridCol w:w="663"/>
        <w:gridCol w:w="412"/>
        <w:gridCol w:w="721"/>
        <w:gridCol w:w="425"/>
        <w:gridCol w:w="427"/>
        <w:gridCol w:w="849"/>
        <w:gridCol w:w="533"/>
      </w:tblGrid>
      <w:tr w:rsidR="00567C3E" w:rsidRPr="001534A8" w:rsidTr="00D32FA7">
        <w:trPr>
          <w:cantSplit/>
          <w:trHeight w:val="1986"/>
        </w:trPr>
        <w:tc>
          <w:tcPr>
            <w:tcW w:w="104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Ubóstwo</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Bezdomność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 macierzyństwa</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Bezrobocie</w:t>
            </w: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Niepełnosprawność</w:t>
            </w:r>
          </w:p>
        </w:tc>
        <w:tc>
          <w:tcPr>
            <w:tcW w:w="2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Długotrwała choroba</w:t>
            </w:r>
          </w:p>
        </w:tc>
        <w:tc>
          <w:tcPr>
            <w:tcW w:w="3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Bezradność w sprawach opiekuńczo-wychowawczych</w:t>
            </w:r>
          </w:p>
        </w:tc>
        <w:tc>
          <w:tcPr>
            <w:tcW w:w="2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Przemoc w rodzinie</w:t>
            </w:r>
          </w:p>
        </w:tc>
        <w:tc>
          <w:tcPr>
            <w:tcW w:w="3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Potrzeba ochrony</w:t>
            </w:r>
          </w:p>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ofiar handlu ludźmi</w:t>
            </w:r>
          </w:p>
        </w:tc>
        <w:tc>
          <w:tcPr>
            <w:tcW w:w="2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Alkoholizm</w:t>
            </w:r>
          </w:p>
        </w:tc>
        <w:tc>
          <w:tcPr>
            <w:tcW w:w="2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Narkomania</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18"/>
                <w:szCs w:val="20"/>
              </w:rPr>
            </w:pPr>
            <w:r w:rsidRPr="001534A8">
              <w:rPr>
                <w:rFonts w:ascii="Garamond" w:eastAsia="Times New Roman" w:hAnsi="Garamond" w:cs="Calibri"/>
                <w:color w:val="FFFFFF" w:themeColor="background1"/>
                <w:sz w:val="18"/>
                <w:szCs w:val="20"/>
              </w:rPr>
              <w:t>Trudności w przystosowaniu do życia po opuszczeniu zakładu karnego</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textDirection w:val="btLr"/>
            <w:vAlign w:val="center"/>
            <w:hideMark/>
          </w:tcPr>
          <w:p w:rsidR="00567C3E" w:rsidRPr="001534A8" w:rsidRDefault="00567C3E" w:rsidP="00D32FA7">
            <w:pPr>
              <w:spacing w:before="40" w:after="40" w:line="240" w:lineRule="auto"/>
              <w:ind w:left="113" w:right="113"/>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Zdarzenie losowe</w:t>
            </w:r>
          </w:p>
        </w:tc>
      </w:tr>
      <w:tr w:rsidR="00567C3E" w:rsidRPr="001534A8" w:rsidTr="00D32FA7">
        <w:trPr>
          <w:trHeight w:val="227"/>
        </w:trPr>
        <w:tc>
          <w:tcPr>
            <w:tcW w:w="104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31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21</w:t>
            </w:r>
          </w:p>
        </w:tc>
        <w:tc>
          <w:tcPr>
            <w:tcW w:w="311"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115</w:t>
            </w:r>
          </w:p>
        </w:tc>
        <w:tc>
          <w:tcPr>
            <w:tcW w:w="29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51</w:t>
            </w:r>
          </w:p>
        </w:tc>
        <w:tc>
          <w:tcPr>
            <w:tcW w:w="28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38</w:t>
            </w:r>
          </w:p>
        </w:tc>
        <w:tc>
          <w:tcPr>
            <w:tcW w:w="3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w:t>
            </w:r>
          </w:p>
        </w:tc>
        <w:tc>
          <w:tcPr>
            <w:tcW w:w="22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38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30"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31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163</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52</w:t>
            </w:r>
          </w:p>
        </w:tc>
        <w:tc>
          <w:tcPr>
            <w:tcW w:w="311"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158</w:t>
            </w:r>
          </w:p>
        </w:tc>
        <w:tc>
          <w:tcPr>
            <w:tcW w:w="29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30</w:t>
            </w:r>
          </w:p>
        </w:tc>
        <w:tc>
          <w:tcPr>
            <w:tcW w:w="3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22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388"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w:t>
            </w:r>
          </w:p>
        </w:tc>
        <w:tc>
          <w:tcPr>
            <w:tcW w:w="230"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179</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40</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48</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24</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26</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91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55</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Jabłonowo </w:t>
            </w:r>
          </w:p>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Pomorskie</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457</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132</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331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124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72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39</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15</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4</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188</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116</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20</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144</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80</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35</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22</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sidRPr="001534A8">
              <w:rPr>
                <w:rFonts w:ascii="Garamond" w:eastAsia="Times New Roman" w:hAnsi="Garamond" w:cs="Calibri"/>
                <w:sz w:val="20"/>
                <w:szCs w:val="20"/>
              </w:rPr>
              <w:t>1</w:t>
            </w:r>
          </w:p>
        </w:tc>
      </w:tr>
      <w:tr w:rsidR="00567C3E" w:rsidRPr="001534A8" w:rsidTr="00D32FA7">
        <w:trPr>
          <w:trHeight w:val="227"/>
        </w:trPr>
        <w:tc>
          <w:tcPr>
            <w:tcW w:w="1049"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31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1843</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72</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393</w:t>
            </w:r>
          </w:p>
        </w:tc>
        <w:tc>
          <w:tcPr>
            <w:tcW w:w="311"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1955</w:t>
            </w:r>
          </w:p>
        </w:tc>
        <w:tc>
          <w:tcPr>
            <w:tcW w:w="29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919</w:t>
            </w:r>
          </w:p>
        </w:tc>
        <w:tc>
          <w:tcPr>
            <w:tcW w:w="28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462</w:t>
            </w:r>
          </w:p>
        </w:tc>
        <w:tc>
          <w:tcPr>
            <w:tcW w:w="3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460</w:t>
            </w:r>
          </w:p>
        </w:tc>
        <w:tc>
          <w:tcPr>
            <w:tcW w:w="22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47</w:t>
            </w:r>
          </w:p>
        </w:tc>
        <w:tc>
          <w:tcPr>
            <w:tcW w:w="388"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229"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88</w:t>
            </w:r>
          </w:p>
        </w:tc>
        <w:tc>
          <w:tcPr>
            <w:tcW w:w="230"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45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29</w:t>
            </w:r>
          </w:p>
        </w:tc>
        <w:tc>
          <w:tcPr>
            <w:tcW w:w="287"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Formy aktywizacji społecznej</w:t>
      </w:r>
    </w:p>
    <w:p w:rsidR="00567C3E" w:rsidRDefault="00567C3E" w:rsidP="00567C3E">
      <w:pPr>
        <w:spacing w:after="120"/>
        <w:ind w:firstLine="709"/>
        <w:jc w:val="both"/>
        <w:rPr>
          <w:rFonts w:ascii="Garamond" w:hAnsi="Garamond"/>
        </w:rPr>
      </w:pPr>
      <w:r w:rsidRPr="001534A8">
        <w:rPr>
          <w:rFonts w:ascii="Garamond" w:hAnsi="Garamond"/>
        </w:rPr>
        <w:t>W zakresie działań ograniczających negatywne społeczne efekty wynikające z wykluczenia społecznego i zagrożenia wykluczeniem społecznym gminy z terenu ORSG prowadzą  najczęściej działania w formie programów ograniczających i przeciwdziałających wykluczeniu społecznemu – aktywizację społeczno-zawodową poprzez kursy zawodowe, warsztaty, treningi kompetencji i umiejętności społecznych, konsultacje z doradcami. Ponadto organizowane są prace społecznie użyteczne, interwencyjne i roboty publiczne. Wiele z tych programów realizowana jest ze środków Unii Europejskiej w ramach Europejskiego Funduszu Społecznego, które to środki odgrywają bardzo istotne znacznie w działaniach dotyczących pomocy społecznej. Wymagane jest utrzymanie szerokiego, kompleksowego spektrum działań i realizacja projektów systemowych przeciwdziałających wykluczeniu społecznemu, w tym przy dalszym współfinansowaniu ze środków UE, m.in.: programy aktywizacji społeczno-zawodowej, indywidualne doradztwo, organizacja prac społecznie użytecznych.</w:t>
      </w:r>
    </w:p>
    <w:p w:rsidR="00567C3E" w:rsidRPr="001534A8" w:rsidRDefault="00567C3E" w:rsidP="00567C3E">
      <w:pPr>
        <w:spacing w:after="120"/>
        <w:ind w:firstLine="709"/>
        <w:jc w:val="both"/>
        <w:rPr>
          <w:rFonts w:ascii="Garamond" w:hAnsi="Garamond"/>
        </w:rPr>
      </w:pPr>
      <w:r w:rsidRPr="00CC0604">
        <w:rPr>
          <w:rFonts w:ascii="Garamond" w:hAnsi="Garamond"/>
        </w:rPr>
        <w:t>Gminy ORSG posiadają doświadczenie w realizacji projektów systemowych. Od 2008 roku Gminny Ośrodek Pomocy Społecznej w Bartniczce realizuje projekt systemowy pn.: „Przeciw wykluczeniu społecznemu”, w którym łącznie wzięło udział 147 osób. Z kolei gmina Osiek w latach 2008-2014 realizowała projekt pn.: „Szansa na zatrudnienie” skierowany do osób korzystających z pomocy społecznej, bezrobotnych, nieaktywnych zawodowo i zagrożonych wykluczeniem.</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Asystentura rodziny</w:t>
      </w:r>
    </w:p>
    <w:p w:rsidR="00567C3E" w:rsidRPr="00CC0604" w:rsidRDefault="00567C3E" w:rsidP="00567C3E">
      <w:pPr>
        <w:spacing w:after="120"/>
        <w:ind w:firstLine="709"/>
        <w:jc w:val="both"/>
        <w:rPr>
          <w:rFonts w:ascii="Garamond" w:hAnsi="Garamond"/>
        </w:rPr>
      </w:pPr>
      <w:r w:rsidRPr="001534A8">
        <w:rPr>
          <w:rFonts w:ascii="Garamond" w:hAnsi="Garamond"/>
        </w:rPr>
        <w:t xml:space="preserve">W zakresie ograniczania społecznych efektów problemów wynikających z dezorganizacji rodziny i zapewniania lepszej pomocy osobom i rodzinom znajdującym się w trudnej sytuacji życiowej, w tym młodzieży znajdującej się w szczególnej sytuacji życiowej (wychowankowie placówek opiekuńczo-wychowawczych, osoby opuszczające pieczę rodzinną) wymagane jest zapewnienie odpowiednio </w:t>
      </w:r>
      <w:r w:rsidRPr="001534A8">
        <w:rPr>
          <w:rFonts w:ascii="Garamond" w:hAnsi="Garamond"/>
        </w:rPr>
        <w:lastRenderedPageBreak/>
        <w:t xml:space="preserve">rozwiniętych usług profilaktyczno-wspierających. </w:t>
      </w:r>
      <w:r w:rsidRPr="001534A8">
        <w:rPr>
          <w:rFonts w:ascii="Garamond" w:hAnsi="Garamond" w:cs="Calibri"/>
        </w:rPr>
        <w:t xml:space="preserve">Bardzo ważną rolę w pomocy społecznej pełni specjalistyczne poradnictwo skierowane do osób i rodzin, które wymagają odzyskania lub zwiększenia zdolności do funkcjonowania w społeczeństwie. Jednostki pomocy społecznej na ORSG realizują pomoc rodzinom mającym trudności w wypełnieniu swoich zadań oraz dzieciom z tych rodzin w formie poradnictwa rodzinnego, asystenta rodziny, terapii rodzinnej rozumianej jako działania psychologiczne, pedagogiczne i socjologiczne. Nie wszystkie jednak ośrodki pomocy społecznej na terenie ORSG zapewniają dostęp do kompleksowego poradnictwa rodzinnego. Niektóre natomiast realizują te zadania, poprzez stosowne umowy w innych ośrodkach – Gmina Brodnica i Świedziebnia w </w:t>
      </w:r>
      <w:r w:rsidRPr="001534A8">
        <w:rPr>
          <w:rFonts w:ascii="Garamond" w:hAnsi="Garamond"/>
        </w:rPr>
        <w:t>Miejskim Ośrodkiem</w:t>
      </w:r>
      <w:r w:rsidRPr="001534A8">
        <w:rPr>
          <w:rFonts w:ascii="Garamond" w:hAnsi="Garamond"/>
          <w:sz w:val="20"/>
          <w:szCs w:val="20"/>
        </w:rPr>
        <w:t xml:space="preserve"> </w:t>
      </w:r>
      <w:r w:rsidRPr="00222C37">
        <w:rPr>
          <w:rFonts w:ascii="Garamond" w:hAnsi="Garamond"/>
          <w:szCs w:val="20"/>
        </w:rPr>
        <w:t>Pomocy Społecznej w Brodnicy</w:t>
      </w:r>
      <w:r w:rsidRPr="001534A8">
        <w:rPr>
          <w:rFonts w:ascii="Garamond" w:hAnsi="Garamond"/>
        </w:rPr>
        <w:t>, a gminy: Bobrowo, Brzozie i Osiek w Ośrodku Terapii i Rozwoju Osobistego w Brodnicy.</w:t>
      </w:r>
      <w:r>
        <w:rPr>
          <w:rFonts w:ascii="Garamond" w:hAnsi="Garamond"/>
        </w:rPr>
        <w:t xml:space="preserve"> </w:t>
      </w:r>
      <w:r w:rsidRPr="00CC0604">
        <w:rPr>
          <w:rFonts w:ascii="Garamond" w:hAnsi="Garamond"/>
        </w:rPr>
        <w:t>W związku z tym, że konieczność dojazdu do miasta może zniechęcać większość klientów z korzystania z tej formy wsparcia, rozwiązaniem mogłoby być zorganizowanie mobilnego poradnictwa w formie dyżurów specjalistów w miejscowościach gminnych.</w:t>
      </w:r>
    </w:p>
    <w:p w:rsidR="00567C3E" w:rsidRDefault="00567C3E" w:rsidP="00567C3E">
      <w:pPr>
        <w:spacing w:after="120"/>
        <w:ind w:firstLine="709"/>
        <w:jc w:val="both"/>
        <w:rPr>
          <w:rFonts w:ascii="Garamond" w:hAnsi="Garamond"/>
        </w:rPr>
      </w:pPr>
      <w:r w:rsidRPr="00CC0604">
        <w:rPr>
          <w:rFonts w:ascii="Garamond" w:hAnsi="Garamond"/>
        </w:rPr>
        <w:t>Jednym z głównych problemów w zakresie wsparcia rodziny z jakim zmagają s</w:t>
      </w:r>
      <w:r>
        <w:rPr>
          <w:rFonts w:ascii="Garamond" w:hAnsi="Garamond"/>
        </w:rPr>
        <w:t>ię ośrodki pomocy społecznej z P</w:t>
      </w:r>
      <w:r w:rsidRPr="00CC0604">
        <w:rPr>
          <w:rFonts w:ascii="Garamond" w:hAnsi="Garamond"/>
        </w:rPr>
        <w:t xml:space="preserve">owiatu </w:t>
      </w:r>
      <w:r>
        <w:rPr>
          <w:rFonts w:ascii="Garamond" w:hAnsi="Garamond"/>
        </w:rPr>
        <w:t>B</w:t>
      </w:r>
      <w:r w:rsidRPr="00CC0604">
        <w:rPr>
          <w:rFonts w:ascii="Garamond" w:hAnsi="Garamond"/>
        </w:rPr>
        <w:t>rodnickiego są braki kadrowe. W większości przypadków jednostki identyfikują potrzeby w zakresie zatrudnienia dodatkowych pracowników na stanowisko asystenta rodziny, psychologa czy terapeuty.</w:t>
      </w:r>
      <w:r>
        <w:rPr>
          <w:rFonts w:ascii="Garamond" w:hAnsi="Garamond"/>
        </w:rPr>
        <w:t xml:space="preserve"> Na obszar całego P</w:t>
      </w:r>
      <w:r w:rsidRPr="00CC0604">
        <w:rPr>
          <w:rFonts w:ascii="Garamond" w:hAnsi="Garamond"/>
        </w:rPr>
        <w:t>owiatu przypada 10 asystentów rodziny, przeciętnie 1 osoba na gminę. Zdiagnozowano także potrzebę podwyższania kwalifikacji i umiejętności pracowników oraz ciągle pogłębianie wiedzy w zakresie wsparcia rodziny celem lepszego zaspakajania potrzeb osób wymagających pomocy.</w:t>
      </w:r>
    </w:p>
    <w:p w:rsidR="00567C3E" w:rsidRPr="007C46BB" w:rsidRDefault="00567C3E" w:rsidP="00567C3E">
      <w:pPr>
        <w:pStyle w:val="T"/>
      </w:pPr>
      <w:bookmarkStart w:id="41" w:name="_Toc430871997"/>
      <w:r w:rsidRPr="00473886">
        <w:t>Tabela 15. Liczba asystentów rodziny zatrudnionych w MOPS i GOPS na terenie ORSG (stan na wrzesień 2015 r.)</w:t>
      </w:r>
      <w:bookmarkEnd w:id="41"/>
    </w:p>
    <w:tbl>
      <w:tblPr>
        <w:tblW w:w="2105"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2047"/>
        <w:gridCol w:w="1863"/>
      </w:tblGrid>
      <w:tr w:rsidR="00567C3E" w:rsidRPr="001534A8" w:rsidTr="00D32FA7">
        <w:trPr>
          <w:cantSplit/>
          <w:trHeight w:val="483"/>
          <w:jc w:val="center"/>
        </w:trPr>
        <w:tc>
          <w:tcPr>
            <w:tcW w:w="2618"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sidRPr="001534A8">
              <w:rPr>
                <w:rFonts w:ascii="Garamond" w:eastAsia="Times New Roman" w:hAnsi="Garamond" w:cs="Calibri"/>
                <w:color w:val="FFFFFF" w:themeColor="background1"/>
                <w:sz w:val="20"/>
                <w:szCs w:val="20"/>
              </w:rPr>
              <w:t> Jednostka terytorialna</w:t>
            </w:r>
          </w:p>
        </w:tc>
        <w:tc>
          <w:tcPr>
            <w:tcW w:w="2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Calibri"/>
                <w:color w:val="FFFFFF" w:themeColor="background1"/>
                <w:sz w:val="20"/>
                <w:szCs w:val="20"/>
              </w:rPr>
            </w:pPr>
            <w:r>
              <w:rPr>
                <w:rFonts w:ascii="Garamond" w:eastAsia="Times New Roman" w:hAnsi="Garamond" w:cs="Calibri"/>
                <w:color w:val="FFFFFF" w:themeColor="background1"/>
                <w:sz w:val="20"/>
                <w:szCs w:val="20"/>
              </w:rPr>
              <w:t>Liczba asystentów rodziny</w:t>
            </w:r>
          </w:p>
        </w:tc>
      </w:tr>
      <w:tr w:rsidR="00567C3E" w:rsidRPr="001534A8" w:rsidTr="00D32FA7">
        <w:trPr>
          <w:trHeight w:val="227"/>
          <w:jc w:val="center"/>
        </w:trPr>
        <w:tc>
          <w:tcPr>
            <w:tcW w:w="2618"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2382" w:type="pct"/>
            <w:tcBorders>
              <w:top w:val="single" w:sz="4" w:space="0" w:color="FFFFFF" w:themeColor="background1"/>
            </w:tcBorders>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hideMark/>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2382" w:type="pct"/>
            <w:shd w:val="clear" w:color="auto" w:fill="auto"/>
            <w:noWrap/>
            <w:vAlign w:val="center"/>
            <w:hideMark/>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2</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0</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Pr>
                <w:rFonts w:ascii="Garamond" w:hAnsi="Garamond"/>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Calibri"/>
                <w:sz w:val="20"/>
                <w:szCs w:val="20"/>
              </w:rPr>
            </w:pPr>
            <w:r>
              <w:rPr>
                <w:rFonts w:ascii="Garamond" w:eastAsia="Times New Roman" w:hAnsi="Garamond" w:cs="Calibri"/>
                <w:sz w:val="20"/>
                <w:szCs w:val="20"/>
              </w:rPr>
              <w:t>1</w:t>
            </w:r>
          </w:p>
        </w:tc>
      </w:tr>
      <w:tr w:rsidR="00567C3E" w:rsidRPr="001534A8" w:rsidTr="00D32FA7">
        <w:trPr>
          <w:trHeight w:val="227"/>
          <w:jc w:val="center"/>
        </w:trPr>
        <w:tc>
          <w:tcPr>
            <w:tcW w:w="2618" w:type="pct"/>
            <w:shd w:val="clear" w:color="auto" w:fill="auto"/>
            <w:noWrap/>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2382" w:type="pct"/>
            <w:shd w:val="clear" w:color="auto" w:fill="auto"/>
            <w:noWrap/>
            <w:vAlign w:val="center"/>
          </w:tcPr>
          <w:p w:rsidR="00567C3E" w:rsidRPr="001534A8" w:rsidRDefault="00567C3E" w:rsidP="00D32FA7">
            <w:pPr>
              <w:spacing w:before="40" w:after="40" w:line="240" w:lineRule="auto"/>
              <w:jc w:val="right"/>
              <w:rPr>
                <w:rFonts w:ascii="Garamond" w:hAnsi="Garamond"/>
                <w:b/>
                <w:sz w:val="20"/>
                <w:szCs w:val="20"/>
              </w:rPr>
            </w:pPr>
            <w:r>
              <w:rPr>
                <w:rFonts w:ascii="Garamond" w:hAnsi="Garamond"/>
                <w:b/>
                <w:sz w:val="20"/>
                <w:szCs w:val="20"/>
              </w:rPr>
              <w:t>10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 xml:space="preserve">Opracowanie własne na podstawie danych ośrodków pomocy społecznej gmin z terenu ORSG. </w:t>
      </w:r>
    </w:p>
    <w:p w:rsidR="00567C3E" w:rsidRPr="001534A8" w:rsidRDefault="00567C3E" w:rsidP="00567C3E">
      <w:pPr>
        <w:spacing w:after="120"/>
        <w:ind w:firstLine="709"/>
        <w:jc w:val="both"/>
        <w:rPr>
          <w:rFonts w:ascii="Garamond" w:hAnsi="Garamond" w:cs="Calibri"/>
        </w:rPr>
      </w:pPr>
      <w:r>
        <w:rPr>
          <w:rFonts w:ascii="Garamond" w:hAnsi="Garamond" w:cs="Calibri"/>
        </w:rPr>
        <w:t>Pomoc w zakresie wsparcia rodziny świadczy także Poradnia Psychologiczno-Pedagogiczna</w:t>
      </w:r>
      <w:r w:rsidRPr="001534A8">
        <w:rPr>
          <w:rFonts w:ascii="Garamond" w:hAnsi="Garamond" w:cs="Calibri"/>
        </w:rPr>
        <w:t xml:space="preserve">, która udziela pomocy psychologiczno-pedagogicznej dzieciom i młodzieży, w tym pomocy logopedycznej, pomocy w wyborze kierunku kształcenia i zawodu, a także </w:t>
      </w:r>
      <w:r>
        <w:rPr>
          <w:rFonts w:ascii="Garamond" w:hAnsi="Garamond" w:cs="Calibri"/>
        </w:rPr>
        <w:t>zapewnia</w:t>
      </w:r>
      <w:r w:rsidRPr="001534A8">
        <w:rPr>
          <w:rFonts w:ascii="Garamond" w:hAnsi="Garamond" w:cs="Calibri"/>
        </w:rPr>
        <w:t xml:space="preserve"> rodzicom i nauczycielom </w:t>
      </w:r>
      <w:r>
        <w:rPr>
          <w:rFonts w:ascii="Garamond" w:hAnsi="Garamond" w:cs="Calibri"/>
        </w:rPr>
        <w:t>wsparcie psychologiczno-pedagogiczne związane</w:t>
      </w:r>
      <w:r w:rsidRPr="001534A8">
        <w:rPr>
          <w:rFonts w:ascii="Garamond" w:hAnsi="Garamond" w:cs="Calibri"/>
        </w:rPr>
        <w:t xml:space="preserve"> z wychowaniem i kształceniem dzieci i młodzieży.  </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Piecza zastępcza</w:t>
      </w:r>
    </w:p>
    <w:p w:rsidR="00567C3E" w:rsidRPr="001534A8" w:rsidRDefault="00567C3E" w:rsidP="00567C3E">
      <w:pPr>
        <w:spacing w:after="120"/>
        <w:ind w:firstLine="709"/>
        <w:jc w:val="both"/>
        <w:rPr>
          <w:rFonts w:ascii="Garamond" w:hAnsi="Garamond" w:cs="Calibri"/>
        </w:rPr>
      </w:pPr>
      <w:r w:rsidRPr="001534A8">
        <w:rPr>
          <w:rFonts w:ascii="Garamond" w:hAnsi="Garamond"/>
        </w:rPr>
        <w:t>Na przestrzeni ostatnich lat, na terenie ORSG, widać utrzymującą się, stałą liczbę dzieci przebywających w rodzinach zastępczych i placówkach opiekuńczo wychowawczych. W 2007r. było to 137 dzieci, w 2014 – 143. W 2014 r. funkcjonowały tu</w:t>
      </w:r>
      <w:r w:rsidRPr="001534A8">
        <w:rPr>
          <w:rFonts w:ascii="Garamond" w:hAnsi="Garamond" w:cs="Calibri"/>
        </w:rPr>
        <w:t xml:space="preserve"> 62 rodziny zastępcze, w których przebywało łącznie 88 dzieci. Ponadto opiekę nad dziećmi zapewniały również 4 placówki opiekuńczo – wychowawcze:</w:t>
      </w:r>
      <w:r w:rsidRPr="001534A8">
        <w:rPr>
          <w:rFonts w:ascii="Garamond" w:hAnsi="Garamond"/>
        </w:rPr>
        <w:t xml:space="preserve"> </w:t>
      </w:r>
      <w:r w:rsidRPr="001534A8">
        <w:rPr>
          <w:rFonts w:ascii="Garamond" w:hAnsi="Garamond" w:cs="Calibri"/>
        </w:rPr>
        <w:t xml:space="preserve">Dom </w:t>
      </w:r>
      <w:r w:rsidRPr="001534A8">
        <w:rPr>
          <w:rFonts w:ascii="Garamond" w:hAnsi="Garamond" w:cs="Calibri"/>
        </w:rPr>
        <w:lastRenderedPageBreak/>
        <w:t>Dziecka w Brodnicy przeznaczony dla 30 dzieci oraz 3 rodzinne domy dziecka: w Górznie przeznaczony dla 8 osób, w Fiałkach przeznaczony dla 8 osób i w Jabłonowie Pomorskim przeznaczony dla 8 osób. Na koniec 2014 roku w placówkach tych przebywało łącznie 55 wychowanków.</w:t>
      </w:r>
    </w:p>
    <w:p w:rsidR="00567C3E" w:rsidRPr="001534A8" w:rsidRDefault="00567C3E" w:rsidP="00567C3E">
      <w:pPr>
        <w:pStyle w:val="T"/>
      </w:pPr>
      <w:bookmarkStart w:id="42" w:name="_Toc430871998"/>
      <w:r w:rsidRPr="001534A8">
        <w:t>Tabela 1</w:t>
      </w:r>
      <w:r>
        <w:t>6</w:t>
      </w:r>
      <w:r w:rsidRPr="001534A8">
        <w:t>. Rodzinna piecza zastępcza i placówki opiekuńczo-wychowawcze dla dzieci i młodzieży na terenie ORSG Powiatu Brodnickiego w 2014 r.</w:t>
      </w:r>
      <w:bookmarkEnd w:id="42"/>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94"/>
        <w:gridCol w:w="2079"/>
        <w:gridCol w:w="1547"/>
        <w:gridCol w:w="1785"/>
        <w:gridCol w:w="1783"/>
      </w:tblGrid>
      <w:tr w:rsidR="00567C3E" w:rsidRPr="001534A8" w:rsidTr="00D32FA7">
        <w:trPr>
          <w:jc w:val="center"/>
        </w:trPr>
        <w:tc>
          <w:tcPr>
            <w:tcW w:w="1127"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rodzin sprawujących rodzinną pieczę zastępczą</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w rodzinach</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placówek opiekuńczo-wychowawczych dla dzieci i młodzieży</w:t>
            </w:r>
          </w:p>
        </w:tc>
        <w:tc>
          <w:tcPr>
            <w:tcW w:w="961"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dzieci i młodzieży w placówkach opiekuńczo-wychowawczych</w:t>
            </w:r>
          </w:p>
        </w:tc>
      </w:tr>
      <w:tr w:rsidR="00567C3E" w:rsidRPr="001534A8" w:rsidTr="00D32FA7">
        <w:trPr>
          <w:jc w:val="center"/>
        </w:trPr>
        <w:tc>
          <w:tcPr>
            <w:tcW w:w="1127"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119"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25</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0</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jc w:val="center"/>
        </w:trPr>
        <w:tc>
          <w:tcPr>
            <w:tcW w:w="1127"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119"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62</w:t>
            </w:r>
          </w:p>
        </w:tc>
        <w:tc>
          <w:tcPr>
            <w:tcW w:w="833"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88</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w:t>
            </w:r>
          </w:p>
        </w:tc>
        <w:tc>
          <w:tcPr>
            <w:tcW w:w="961"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40</w:t>
            </w:r>
          </w:p>
        </w:tc>
      </w:tr>
    </w:tbl>
    <w:p w:rsidR="00567C3E" w:rsidRPr="001534A8" w:rsidRDefault="00567C3E" w:rsidP="00567C3E">
      <w:pPr>
        <w:pStyle w:val="Akapitzlist"/>
        <w:spacing w:before="120" w:after="120"/>
        <w:ind w:left="0"/>
        <w:jc w:val="both"/>
        <w:rPr>
          <w:rFonts w:ascii="Garamond" w:hAnsi="Garamond" w:cs="Calibri"/>
          <w:i/>
          <w:sz w:val="20"/>
          <w:szCs w:val="20"/>
        </w:rPr>
      </w:pPr>
      <w:r w:rsidRPr="001534A8">
        <w:rPr>
          <w:rFonts w:ascii="Garamond" w:hAnsi="Garamond" w:cs="Calibri"/>
          <w:sz w:val="20"/>
          <w:szCs w:val="20"/>
        </w:rPr>
        <w:t xml:space="preserve">Źródło: </w:t>
      </w:r>
      <w:r w:rsidRPr="001534A8">
        <w:rPr>
          <w:rFonts w:ascii="Garamond" w:hAnsi="Garamond" w:cs="Calibri"/>
          <w:i/>
          <w:sz w:val="20"/>
          <w:szCs w:val="20"/>
        </w:rPr>
        <w:t>Opracowanie własne na podstawie danych Powiatowego Centrum Pomocy Rodzinie w Brodnicy.</w:t>
      </w:r>
    </w:p>
    <w:p w:rsidR="00567C3E" w:rsidRDefault="00567C3E" w:rsidP="00567C3E">
      <w:pPr>
        <w:spacing w:after="120"/>
        <w:ind w:firstLine="709"/>
        <w:jc w:val="both"/>
        <w:rPr>
          <w:rFonts w:ascii="Garamond" w:hAnsi="Garamond"/>
        </w:rPr>
      </w:pPr>
      <w:r w:rsidRPr="001534A8">
        <w:rPr>
          <w:rFonts w:ascii="Garamond" w:hAnsi="Garamond"/>
        </w:rPr>
        <w:t xml:space="preserve">Z tego względu ważnym jest również doskonalenie systemu opieki nad dzieckiem przebywającym w naturalnym środowisku rodzinnym i poza rodziną. Niezbędne są zwiększone działania w zakresie zapobiegania dysfunkcjom rodziny w sprawach opiekuńczo-wychowawczych w celu zmniejszenia liczby małoletnich umieszczanych w placówkach i rodzinach zastępczych. Z drugiej strony, niezbędne jest wsparcie na rzecz tworzenia, rozwoju i opieki nad rodzinnymi pieczami zastępczymi oraz tworzenie i wsparcie działań na rzecz doskonalenia systemu opieki nad dzieckiem. Potrzebna jest kompleksowa opieka nad rodzinami zastępczymi i ich odpowiednie przygotowanie mające zapewniać lepszą jakość życia dzieciom pochodzącym z rodzin niewydolnych, szczególnie, że coraz częściej opiekunowie zastępczy zgłaszają się z problemami, które wymagają wsparcia specjalistów. </w:t>
      </w:r>
    </w:p>
    <w:p w:rsidR="00567C3E" w:rsidRPr="00CC0604" w:rsidRDefault="00567C3E" w:rsidP="00567C3E">
      <w:pPr>
        <w:spacing w:after="120"/>
        <w:ind w:firstLine="709"/>
        <w:jc w:val="both"/>
        <w:rPr>
          <w:rFonts w:ascii="Garamond" w:hAnsi="Garamond"/>
        </w:rPr>
      </w:pPr>
      <w:r w:rsidRPr="00CC0604">
        <w:rPr>
          <w:rFonts w:ascii="Garamond" w:hAnsi="Garamond"/>
        </w:rPr>
        <w:t>Istotną rzeczą jest także potrzeba wsparcia osób opuszczających placówki opiekuńczo- wychowawcze i rodziny zastępcze. W 2014 roku grupa ta liczyła 25 wychowanków. Otrzymali oni pomoc pieniężną na kontynuowanie nauki w gimnazjum, szkole średniej lub wyższej, 4 wychowanków skorzystało z pomocy na zagospodarowanie w ramach, której zakupiono artykuły niezbędne do wyposażenia mieszkania. Z pomocy pieniężnej na usamodzielnienie, po zakończeniu etapu nauki i procesu usamodzielnienia skorzystało 8 osób.</w:t>
      </w:r>
    </w:p>
    <w:p w:rsidR="00567C3E" w:rsidRDefault="00567C3E" w:rsidP="00567C3E">
      <w:pPr>
        <w:spacing w:after="120"/>
        <w:ind w:firstLine="709"/>
        <w:jc w:val="both"/>
        <w:rPr>
          <w:rFonts w:ascii="Garamond" w:hAnsi="Garamond"/>
        </w:rPr>
      </w:pPr>
      <w:r w:rsidRPr="00CC0604">
        <w:rPr>
          <w:rFonts w:ascii="Garamond" w:hAnsi="Garamond"/>
        </w:rPr>
        <w:t xml:space="preserve">Wychowankowie ze względu na niską motywację do uczenia się oraz deficyty intelektualne często mają problemy z radzeniem sobie w samodzielnym życiu. Należy zatem wspomagać wszelkie działania mające na celu zapewnienie odpowiednich programów mających na celu zminimalizowanie ryzyka wystąpienia zjawiska wykluczenia społecznego oraz zwiększenie szans usamodzielnionym wychowankom na pełne uczestnictwo w życiu społecznym. Jedną z form wsparcia wychowanków opuszczających placówki opiekuńczo-wychowawcze i rodziny zastępcze może być zapewnienie im mieszkania chronionego. </w:t>
      </w:r>
      <w:r>
        <w:rPr>
          <w:rFonts w:ascii="Garamond" w:hAnsi="Garamond"/>
        </w:rPr>
        <w:t>Na koniec 2013 roku na terenie P</w:t>
      </w:r>
      <w:r w:rsidRPr="00CC0604">
        <w:rPr>
          <w:rFonts w:ascii="Garamond" w:hAnsi="Garamond"/>
        </w:rPr>
        <w:t>owiatu funkcjonowało jedno takie mieszkanie, które zlokalizowane było w mieście Brodnicy.</w:t>
      </w:r>
    </w:p>
    <w:p w:rsidR="00567C3E" w:rsidRPr="00C255F2" w:rsidRDefault="00567C3E" w:rsidP="00567C3E">
      <w:pPr>
        <w:spacing w:before="120" w:after="120"/>
        <w:jc w:val="both"/>
        <w:rPr>
          <w:rFonts w:ascii="Garamond" w:hAnsi="Garamond"/>
          <w:b/>
          <w:color w:val="B1059D"/>
        </w:rPr>
      </w:pPr>
      <w:r w:rsidRPr="00C255F2">
        <w:rPr>
          <w:rFonts w:ascii="Garamond" w:hAnsi="Garamond"/>
          <w:b/>
          <w:color w:val="B1059D"/>
        </w:rPr>
        <w:lastRenderedPageBreak/>
        <w:t>Usługi opiekuńcze</w:t>
      </w:r>
    </w:p>
    <w:p w:rsidR="00567C3E" w:rsidRPr="001534A8" w:rsidRDefault="00567C3E" w:rsidP="00567C3E">
      <w:pPr>
        <w:spacing w:after="120"/>
        <w:ind w:firstLine="709"/>
        <w:jc w:val="both"/>
        <w:rPr>
          <w:rFonts w:ascii="Garamond" w:hAnsi="Garamond"/>
        </w:rPr>
      </w:pPr>
      <w:r w:rsidRPr="001534A8">
        <w:rPr>
          <w:rFonts w:ascii="Garamond" w:hAnsi="Garamond"/>
        </w:rPr>
        <w:t>W wykonywaniu zadań pomocy społecznej istotną rolę odgrywają instytucjonalne formy pomocy skierowane do różnych grup odbiorców. Jednostki te działają w obszarach skierowanych głównie do rodzin, osób niepełnosprawnych, starszych, bezdomnych i znajdujących się w sytuacjach kryzysowych.</w:t>
      </w:r>
    </w:p>
    <w:p w:rsidR="00567C3E" w:rsidRPr="001534A8" w:rsidRDefault="00567C3E" w:rsidP="00567C3E">
      <w:pPr>
        <w:spacing w:after="120"/>
        <w:ind w:firstLine="709"/>
        <w:jc w:val="both"/>
        <w:rPr>
          <w:rFonts w:ascii="Garamond" w:hAnsi="Garamond"/>
        </w:rPr>
      </w:pPr>
      <w:r w:rsidRPr="001534A8">
        <w:rPr>
          <w:rFonts w:ascii="Garamond" w:hAnsi="Garamond"/>
        </w:rPr>
        <w:t xml:space="preserve">Ze względu na wzrost znaczenia ekonomii społecznej, na szczególną uwagę zasługują spółdzielnie socjalne, centra i kluby integracji społecznej, warsztaty terapii zajęciowej czy zakłady aktywności zawodowej. Dużą rolę odgrywają także podmioty skupiające się bezpośrednio na opiece i wsparciu wśród osób znajdujących się w trudnej sytuacji życiowej, m.in. domy pomocy społecznej, środowiskowe domy samopomocy. Na terenie ORSG funkcjonują zaledwie dwie spółdzielnie socjalne (w Brodnicy i w Górznie) oraz po jednym: domu pomocy społecznej, środowiskowym domu samopomocy, warsztacie terapii zajęciowej i zakładzie aktywności zawodowej – wszystkie w Brodnicy. </w:t>
      </w:r>
    </w:p>
    <w:p w:rsidR="00567C3E" w:rsidRPr="001534A8" w:rsidRDefault="00567C3E" w:rsidP="00567C3E">
      <w:pPr>
        <w:spacing w:after="120"/>
        <w:ind w:firstLine="709"/>
        <w:jc w:val="both"/>
        <w:rPr>
          <w:rFonts w:ascii="Garamond" w:hAnsi="Garamond"/>
        </w:rPr>
      </w:pPr>
      <w:r w:rsidRPr="001534A8">
        <w:rPr>
          <w:rFonts w:ascii="Garamond" w:hAnsi="Garamond"/>
        </w:rPr>
        <w:t>Opiekę nad osobami w podeszłym wieku, somatycznie chorymi wymagającymi całodobowej opieki realizuje, przeznaczony dla 46 pensjonariuszy Dom Pomocy Społecznej w Brodnicy, który zapewnia usługi bytowe, opiekuńczo – wspomagające i edukacyjne (w formach i zakresie wynikającym z indywidualnych potrzeb). Na przyjęcie do DPS funkcjonuje stała, niewielka kolejka oczekujących. Podobne usługi świadczy prywatny Dom Pomocy Społecznej w Wichulcu, funkcjonujący w ramach NZOZ „Ars-</w:t>
      </w:r>
      <w:proofErr w:type="spellStart"/>
      <w:r w:rsidRPr="001534A8">
        <w:rPr>
          <w:rFonts w:ascii="Garamond" w:hAnsi="Garamond"/>
        </w:rPr>
        <w:t>Medica</w:t>
      </w:r>
      <w:proofErr w:type="spellEnd"/>
      <w:r w:rsidRPr="001534A8">
        <w:rPr>
          <w:rFonts w:ascii="Garamond" w:hAnsi="Garamond"/>
        </w:rPr>
        <w:t>”. Podmiot dysponuje 38 miejscami.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CC0604" w:rsidRDefault="00567C3E" w:rsidP="00567C3E">
      <w:pPr>
        <w:spacing w:after="120"/>
        <w:ind w:firstLine="709"/>
        <w:jc w:val="both"/>
        <w:rPr>
          <w:rFonts w:ascii="Garamond" w:hAnsi="Garamond"/>
        </w:rPr>
      </w:pPr>
      <w:r w:rsidRPr="00CC0604">
        <w:rPr>
          <w:rFonts w:ascii="Garamond" w:hAnsi="Garamond"/>
        </w:rPr>
        <w:t>Osoby starsze wykazują niską aktywnością w wielu dziedzinach życia społecznego, wynikającą przede wszystkim z wąskiego zakresu dedykowanej im oferty spędzania wolnego czasu.</w:t>
      </w:r>
      <w:r>
        <w:rPr>
          <w:rFonts w:ascii="Garamond" w:hAnsi="Garamond"/>
        </w:rPr>
        <w:t xml:space="preserve"> Na terenie P</w:t>
      </w:r>
      <w:r w:rsidRPr="00CC0604">
        <w:rPr>
          <w:rFonts w:ascii="Garamond" w:hAnsi="Garamond"/>
        </w:rPr>
        <w:t xml:space="preserve">owiatu funkcjonuje Uniwersytet III wieku w Brodnicy, a także kluby seniora i stowarzyszenia, których członkami są osoby starsze. Jednym z głównych problemów jest brak infrastruktury, która mogłaby zostać im udostępniona. W większości przypadków członkowie organizacji spotykają się gościnnie w gminnych ośrodkach kultury. Brakuje natomiast miejsc, gdzie osoby starsze mogłyby rozwijać swoje zainteresowania i uprawiać sport.     </w:t>
      </w:r>
    </w:p>
    <w:p w:rsidR="00567C3E" w:rsidRPr="001534A8" w:rsidRDefault="00567C3E" w:rsidP="00567C3E">
      <w:pPr>
        <w:spacing w:after="120"/>
        <w:ind w:firstLine="709"/>
        <w:jc w:val="both"/>
        <w:rPr>
          <w:rFonts w:ascii="Garamond" w:hAnsi="Garamond"/>
        </w:rPr>
      </w:pPr>
      <w:r w:rsidRPr="00CC0604">
        <w:rPr>
          <w:rFonts w:ascii="Garamond" w:hAnsi="Garamond"/>
        </w:rPr>
        <w:t>Wsparcie dla osób starszych powinno zapewniać wszechstronną opiekę zarówno instytucjonalną, w odpowiednich warunkach, jak i w szczególności w ramach środowiskowych form wsparcia i niestacjonarnych usług opiekuńczych świadczonych w środowisku. Ich aktualna liczba i dostępność nie jest bowiem adekwatna do potrzeb, szczególnie w kontekście starzejącego się społeczeństwa. Wskazane byłoby przede wszystkim dalsze zatrudnianie opiekunek i świadczenie pomocy sąsiedzkiej, a także tworzenie nowych placówek zarówno dziennego pobytu, jak i pobytu stałego dla osób wymagających opieki, rozwijanie aktywnych form spędzania czasu wolnego oraz zaspakajanie potrzeb kulturalno-społecznych tych osób.</w:t>
      </w:r>
      <w:r w:rsidRPr="00793395">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t>Istotnym zadaniem jest wsparcie integracji społeczno-zawodowej osób niepełnosprawnych. Na ORSG corocznie wydawanych jest przez Powiatowy Zespół do Spraw Orzekania o Niepełnosprawności ok. 2 tys. orzeczeń o niepełnosprawności i o stopniu niepełnosprawności. W roku 2014 orzeczeń takich wydanych zostało 1725, w tym 275 orzeczeń o niepełnosprawności dla dzieci i młodzieży do 16 lat.</w:t>
      </w:r>
    </w:p>
    <w:p w:rsidR="00567C3E" w:rsidRDefault="00567C3E" w:rsidP="00567C3E">
      <w:pPr>
        <w:pStyle w:val="T"/>
      </w:pPr>
    </w:p>
    <w:p w:rsidR="00567C3E" w:rsidRDefault="00567C3E" w:rsidP="00567C3E">
      <w:pPr>
        <w:pStyle w:val="T"/>
      </w:pPr>
    </w:p>
    <w:p w:rsidR="00567C3E" w:rsidRDefault="00567C3E" w:rsidP="00567C3E">
      <w:pPr>
        <w:pStyle w:val="T"/>
      </w:pPr>
    </w:p>
    <w:p w:rsidR="00567C3E" w:rsidRPr="001534A8" w:rsidRDefault="00567C3E" w:rsidP="00567C3E">
      <w:pPr>
        <w:pStyle w:val="T"/>
      </w:pPr>
      <w:bookmarkStart w:id="43" w:name="_Toc430871999"/>
      <w:r w:rsidRPr="001534A8">
        <w:lastRenderedPageBreak/>
        <w:t>Tabela 1</w:t>
      </w:r>
      <w:r>
        <w:t>7</w:t>
      </w:r>
      <w:r w:rsidRPr="001534A8">
        <w:t>. Liczba orzeczeń o niepełnosprawności i stopniu niepełnosprawności wydanych na terenie ORSG Powiatu Brodnickiego przez Powiatowy Zespół do Spraw Orzekania o Niepełnosprawności w 2014 r.</w:t>
      </w:r>
      <w:bookmarkEnd w:id="43"/>
    </w:p>
    <w:tbl>
      <w:tblPr>
        <w:tblW w:w="3747"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115"/>
        <w:gridCol w:w="1762"/>
        <w:gridCol w:w="1542"/>
        <w:gridCol w:w="1541"/>
      </w:tblGrid>
      <w:tr w:rsidR="00567C3E" w:rsidRPr="001534A8" w:rsidTr="00D32FA7">
        <w:trPr>
          <w:trHeight w:val="537"/>
          <w:jc w:val="center"/>
        </w:trPr>
        <w:tc>
          <w:tcPr>
            <w:tcW w:w="1519"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Jednostka terytorialna</w:t>
            </w:r>
          </w:p>
        </w:tc>
        <w:tc>
          <w:tcPr>
            <w:tcW w:w="12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Liczba wydanych orzeczeń o niepełnosprawności i o stopniu niepełnosprawności</w:t>
            </w:r>
          </w:p>
        </w:tc>
        <w:tc>
          <w:tcPr>
            <w:tcW w:w="110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dzieci i młodzieży do 16 lat</w:t>
            </w:r>
          </w:p>
        </w:tc>
        <w:tc>
          <w:tcPr>
            <w:tcW w:w="1107"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Akapitzlist"/>
              <w:spacing w:before="40" w:after="40" w:line="240" w:lineRule="auto"/>
              <w:ind w:left="0"/>
              <w:contextualSpacing w:val="0"/>
              <w:jc w:val="center"/>
              <w:rPr>
                <w:rFonts w:ascii="Garamond" w:hAnsi="Garamond" w:cs="Calibri"/>
                <w:color w:val="FFFFFF" w:themeColor="background1"/>
                <w:sz w:val="20"/>
                <w:szCs w:val="20"/>
              </w:rPr>
            </w:pPr>
            <w:r w:rsidRPr="001534A8">
              <w:rPr>
                <w:rFonts w:ascii="Garamond" w:hAnsi="Garamond" w:cs="Calibri"/>
                <w:color w:val="FFFFFF" w:themeColor="background1"/>
                <w:sz w:val="20"/>
                <w:szCs w:val="20"/>
              </w:rPr>
              <w:t>W tym liczba osób w wieku 16-25</w:t>
            </w:r>
          </w:p>
        </w:tc>
      </w:tr>
      <w:tr w:rsidR="00567C3E" w:rsidRPr="001534A8" w:rsidTr="00D32FA7">
        <w:trPr>
          <w:trHeight w:val="268"/>
          <w:jc w:val="center"/>
        </w:trPr>
        <w:tc>
          <w:tcPr>
            <w:tcW w:w="1519"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Bartniczka</w:t>
            </w:r>
          </w:p>
        </w:tc>
        <w:tc>
          <w:tcPr>
            <w:tcW w:w="1266"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87</w:t>
            </w:r>
          </w:p>
        </w:tc>
        <w:tc>
          <w:tcPr>
            <w:tcW w:w="1108"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c>
          <w:tcPr>
            <w:tcW w:w="1107" w:type="pct"/>
            <w:tcBorders>
              <w:top w:val="single" w:sz="4" w:space="0" w:color="FFFFFF" w:themeColor="background1"/>
            </w:tcBorders>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Bobrowo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105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850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57</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136</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32</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Brzozie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64</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Górzno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70</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Jabłonowo Pomorskie</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171</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38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12</w:t>
            </w:r>
          </w:p>
        </w:tc>
      </w:tr>
      <w:tr w:rsidR="00567C3E" w:rsidRPr="001534A8" w:rsidTr="00D32FA7">
        <w:trPr>
          <w:trHeight w:val="287"/>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Osiek</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58</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4</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Świedziebnia</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89</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21</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5</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Zbiczno</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95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18</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sz w:val="20"/>
                <w:szCs w:val="20"/>
              </w:rPr>
            </w:pPr>
            <w:r w:rsidRPr="001534A8">
              <w:rPr>
                <w:rFonts w:ascii="Garamond" w:hAnsi="Garamond" w:cs="Calibri"/>
                <w:sz w:val="20"/>
                <w:szCs w:val="20"/>
              </w:rPr>
              <w:t>11</w:t>
            </w:r>
          </w:p>
        </w:tc>
      </w:tr>
      <w:tr w:rsidR="00567C3E" w:rsidRPr="001534A8" w:rsidTr="00D32FA7">
        <w:trPr>
          <w:trHeight w:val="268"/>
          <w:jc w:val="center"/>
        </w:trPr>
        <w:tc>
          <w:tcPr>
            <w:tcW w:w="1519" w:type="pct"/>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b/>
                <w:sz w:val="20"/>
                <w:szCs w:val="20"/>
              </w:rPr>
              <w:t>ORSG</w:t>
            </w:r>
          </w:p>
        </w:tc>
        <w:tc>
          <w:tcPr>
            <w:tcW w:w="1266"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1 725</w:t>
            </w:r>
          </w:p>
        </w:tc>
        <w:tc>
          <w:tcPr>
            <w:tcW w:w="1108"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275</w:t>
            </w:r>
          </w:p>
        </w:tc>
        <w:tc>
          <w:tcPr>
            <w:tcW w:w="1107" w:type="pct"/>
            <w:vAlign w:val="center"/>
          </w:tcPr>
          <w:p w:rsidR="00567C3E" w:rsidRPr="001534A8" w:rsidRDefault="00567C3E" w:rsidP="00D32FA7">
            <w:pPr>
              <w:pStyle w:val="Akapitzlist"/>
              <w:spacing w:before="40" w:after="40" w:line="240" w:lineRule="auto"/>
              <w:ind w:left="0"/>
              <w:contextualSpacing w:val="0"/>
              <w:jc w:val="right"/>
              <w:rPr>
                <w:rFonts w:ascii="Garamond" w:hAnsi="Garamond" w:cs="Calibri"/>
                <w:b/>
                <w:sz w:val="20"/>
                <w:szCs w:val="20"/>
              </w:rPr>
            </w:pPr>
            <w:r w:rsidRPr="001534A8">
              <w:rPr>
                <w:rFonts w:ascii="Garamond" w:hAnsi="Garamond" w:cs="Calibri"/>
                <w:b/>
                <w:sz w:val="20"/>
                <w:szCs w:val="20"/>
              </w:rPr>
              <w:t>140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Powiatowego Centrum Pomocy Rodzinie w Brodnicy.</w:t>
      </w:r>
    </w:p>
    <w:p w:rsidR="00567C3E" w:rsidRPr="001534A8" w:rsidRDefault="00567C3E" w:rsidP="00567C3E">
      <w:pPr>
        <w:spacing w:after="120"/>
        <w:jc w:val="both"/>
        <w:rPr>
          <w:rFonts w:ascii="Garamond" w:hAnsi="Garamond"/>
        </w:rPr>
      </w:pPr>
      <w:r w:rsidRPr="001534A8">
        <w:rPr>
          <w:rFonts w:ascii="Garamond" w:hAnsi="Garamond"/>
        </w:rPr>
        <w:t xml:space="preserve">Instytucje wspierające osoby niepełnosprawne na ORSG to przede wszystkim: </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Warsztat Terapii Zajęciowej w Brodnicy prowadzący działania mające zwiększyć szansę osób niepełnosprawnych na możliwie niezależne, samodzielne i aktywne życie</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Zakład Aktywności Zawodowej w Brodnicy, wspierający zatrudnienie osób niepełnosprawnych. Prowadzi on hotel i do jego obsługi zatrudnienia osoby ze znacznym stopniem niepełnosprawności (ok. 40 osób), realizując przez to rehabilitację zawodową i społeczną tych osób oraz przygotowując ich do aktywnego życia w otwartym środowisku</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Środowiskowy Dom Samopomocy w Brodnicy prowadzony przez Brodnickie Centrum „Caritas”– jest ogniwem wparcia społecznego dla osób, które z powodu przewlekłej psychicznej choroby lub głębszej niepełnosprawności intelektualnej – upośledzenia umysłowego mają trudności w życiu codziennym (zajęcia terapeutyczne, rehabilitacyjne, rekreacyjno-kulturalne, edukacyjne). Przeznaczony jest dla 30 osób powyżej 18-go roku życia</w:t>
      </w:r>
    </w:p>
    <w:p w:rsidR="00567C3E" w:rsidRPr="001534A8" w:rsidRDefault="00567C3E" w:rsidP="00567C3E">
      <w:pPr>
        <w:pStyle w:val="Akapitzlist"/>
        <w:numPr>
          <w:ilvl w:val="0"/>
          <w:numId w:val="14"/>
        </w:numPr>
        <w:spacing w:after="120"/>
        <w:ind w:left="709" w:hanging="357"/>
        <w:contextualSpacing w:val="0"/>
        <w:jc w:val="both"/>
        <w:rPr>
          <w:rFonts w:ascii="Garamond" w:hAnsi="Garamond"/>
        </w:rPr>
      </w:pPr>
      <w:r w:rsidRPr="001534A8">
        <w:rPr>
          <w:rFonts w:ascii="Garamond" w:hAnsi="Garamond"/>
        </w:rPr>
        <w:t>Powiatowe Centrum Pomocy Rodzinie w Brodnicy świadczące pomoc w zakresie rehabilitacji osób niepełnosprawnych. Osoby potrzebujące mogą ubiegać się m. in. o dofinansowanie likwidacji barier technicznych i architektonicznych, zakupu przedmiotów ortopedycznych i środków pomocniczych czy turnusu rehabilitacyjnego</w:t>
      </w:r>
    </w:p>
    <w:p w:rsidR="00567C3E" w:rsidRPr="001534A8" w:rsidRDefault="00567C3E" w:rsidP="00567C3E">
      <w:pPr>
        <w:spacing w:after="120"/>
        <w:ind w:firstLine="709"/>
        <w:jc w:val="both"/>
        <w:rPr>
          <w:rFonts w:ascii="Garamond" w:hAnsi="Garamond"/>
        </w:rPr>
      </w:pPr>
      <w:r w:rsidRPr="001534A8">
        <w:rPr>
          <w:rFonts w:ascii="Garamond" w:hAnsi="Garamond"/>
        </w:rPr>
        <w:t xml:space="preserve">Istotną rolę w pomocy osobą niepełnosprawnym odgrywają również organizacje pozarządowe takie jak np. Stowarzyszenie Osób Niepełnosprawnych „Od Nowa” w Brodnicy, Towarzystwo Rodziców Dzieci Specjalnej Troski w Brodnicy, Polski Związek Niewidomych - Koło Powiatowe. </w:t>
      </w:r>
    </w:p>
    <w:p w:rsidR="00567C3E" w:rsidRPr="00CC0604" w:rsidRDefault="00567C3E" w:rsidP="00567C3E">
      <w:pPr>
        <w:spacing w:after="120"/>
        <w:ind w:firstLine="709"/>
        <w:jc w:val="both"/>
        <w:rPr>
          <w:rFonts w:ascii="Garamond" w:hAnsi="Garamond"/>
        </w:rPr>
      </w:pPr>
      <w:r w:rsidRPr="00CC0604">
        <w:rPr>
          <w:rFonts w:ascii="Garamond" w:hAnsi="Garamond"/>
        </w:rPr>
        <w:t xml:space="preserve">Na terenie ORSG w 2014 r. było 161 niepełnosprawnych bezrobotnych. W integracji osób niepełnosprawnych ważne jest prowadzenie działań zmierzających zarówno do integracji zawodowej jak i społecznej. W 2014 r. Powiatowe Centrum Pomocy Rodzinie w Brodnicy przeprowadziło następujące rodzaje rehabilitacji osób niepełnosprawnych: </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lastRenderedPageBreak/>
        <w:t>Rehabilitacja zawodowa, poprzez przyznanie i wypłacenie dofinansowania dla 1 osoby na rozpoczęcie działalności gospodarczej</w:t>
      </w:r>
    </w:p>
    <w:p w:rsidR="00567C3E" w:rsidRPr="00CC0604" w:rsidRDefault="00567C3E" w:rsidP="00E36E87">
      <w:pPr>
        <w:pStyle w:val="Akapitzlist"/>
        <w:numPr>
          <w:ilvl w:val="0"/>
          <w:numId w:val="139"/>
        </w:numPr>
        <w:spacing w:after="120"/>
        <w:jc w:val="both"/>
        <w:rPr>
          <w:rFonts w:ascii="Garamond" w:hAnsi="Garamond"/>
        </w:rPr>
      </w:pPr>
      <w:r w:rsidRPr="00CC0604">
        <w:rPr>
          <w:rFonts w:ascii="Garamond" w:hAnsi="Garamond"/>
        </w:rPr>
        <w:t>Rehabilitacja społeczna, poprzez przyznanie dofinansowania: 158 osobom na uczestnictwo w turnusach rehabilitacyjnych, 14 osobom na likwidację barier architektonicznych i technicznych, 416 osobom na zakup sprzętu rehabilitacyjnego, przedmiotów ortopedycznych i środków pomocniczych</w:t>
      </w:r>
    </w:p>
    <w:p w:rsidR="00567C3E" w:rsidRPr="00CC0604" w:rsidRDefault="00567C3E" w:rsidP="00567C3E">
      <w:pPr>
        <w:spacing w:after="120"/>
        <w:ind w:firstLine="708"/>
        <w:jc w:val="both"/>
        <w:rPr>
          <w:rFonts w:ascii="Garamond" w:hAnsi="Garamond"/>
        </w:rPr>
      </w:pPr>
      <w:r w:rsidRPr="00CC0604">
        <w:rPr>
          <w:rFonts w:ascii="Garamond" w:hAnsi="Garamond"/>
        </w:rPr>
        <w:t>PCPR dofinansowało także organizację imprez rekreacyjnych, kulturalnych, sportowych, integracyjnych i turystycznych dla osób niepełnosprawnych przez m. in.:</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Warsztat Terapii Zajęciowej</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Brodnickie Centrum „Caritas”</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Polski Związkiem Niewidomych</w:t>
      </w:r>
    </w:p>
    <w:p w:rsidR="00567C3E" w:rsidRPr="00CC0604" w:rsidRDefault="00567C3E" w:rsidP="00E36E87">
      <w:pPr>
        <w:pStyle w:val="Akapitzlist"/>
        <w:numPr>
          <w:ilvl w:val="0"/>
          <w:numId w:val="140"/>
        </w:numPr>
        <w:spacing w:after="120"/>
        <w:jc w:val="both"/>
        <w:rPr>
          <w:rFonts w:ascii="Garamond" w:hAnsi="Garamond"/>
        </w:rPr>
      </w:pPr>
      <w:r w:rsidRPr="00CC0604">
        <w:rPr>
          <w:rFonts w:ascii="Garamond" w:hAnsi="Garamond"/>
        </w:rPr>
        <w:t>Stowarzyszenie „Od Nowa”</w:t>
      </w:r>
    </w:p>
    <w:p w:rsidR="00567C3E" w:rsidRPr="00BF7F8E" w:rsidRDefault="00567C3E" w:rsidP="00567C3E">
      <w:pPr>
        <w:spacing w:after="120"/>
        <w:ind w:firstLine="708"/>
        <w:jc w:val="both"/>
        <w:rPr>
          <w:rFonts w:ascii="Garamond" w:hAnsi="Garamond"/>
        </w:rPr>
      </w:pPr>
      <w:r w:rsidRPr="001534A8">
        <w:rPr>
          <w:rFonts w:ascii="Garamond" w:hAnsi="Garamond"/>
        </w:rPr>
        <w:t>Dla osób niepełnosprawnych na rynku pracy oraz tych, które dopiero będą poszukiwały pracy koniecznością jest zapewnienie pełnej informacji o możliwościach szeroko rozumianej rehabilitacji zawodowej, uzyskanie porad zawodowych na temat oceny ich kwalifikacji i przydatności na obecnym rynku pracy. Istotne jest, aby pokierować osoby niepełnosprawne do odpowiednich instytucji służących pomocą niepełnosprawnym, a w przypadku braku kwalifikacji bądź kwalifikacji niewystarczających do podjęcia pracy wskazać lub zapewnić im odpowiednie poradnictwo zawodowe czy szkolenia. Istotne jest także prowadzenie działań edukacyjnych samych niepełnosprawnych pod względem ich praw oraz mających na celu zrozumienie problemu bycia osobą niepełnosprawną, wyrabianie zaradności osobistej i pobudzanie aktywności społecznej, pokazanie i uświadomienie szans i możliwości pełnego uczestnictwa w życiu społecznym.</w:t>
      </w:r>
      <w:r>
        <w:rPr>
          <w:rFonts w:ascii="Garamond" w:hAnsi="Garamond"/>
        </w:rPr>
        <w:t xml:space="preserve"> </w:t>
      </w:r>
    </w:p>
    <w:p w:rsidR="00567C3E" w:rsidRDefault="00567C3E" w:rsidP="00567C3E">
      <w:pPr>
        <w:spacing w:after="120"/>
        <w:ind w:firstLine="709"/>
        <w:jc w:val="both"/>
        <w:rPr>
          <w:rFonts w:ascii="Garamond" w:hAnsi="Garamond"/>
        </w:rPr>
      </w:pPr>
      <w:r w:rsidRPr="001534A8">
        <w:rPr>
          <w:rFonts w:ascii="Garamond" w:hAnsi="Garamond"/>
        </w:rPr>
        <w:t>Ważne miejsce zajmuje tu rehabilitacja dzieci i młodzieży. Należałoby szczególną uwagę zwrócić na polepszenie ich kondycji fizycznej oraz intelektualnej poprzez dostosowaną do ich możliwości edukację oraz zajęcia rehabilitacyjno-usprawniające np. na pływalni. Priorytetem jest stworzenie osobom niepełnosprawnym, zarówno dorosłym jak i dzieciom możliwości korzystania w pełni z dóbr społeczno-ekonomicznych ORSG, poprzez m. in.: likwidację barier architektonicznych, technicznych oraz barier w komunikowaniu się oraz stwarzanie warunków do pełnego uczestnictwa zarówno w edukacji jak i w życiu kulturalnym, sporcie, rekreacji i turystyce. Niezbędne jest również zapewnienie dostępu do wszechstronnej opieki tak instytucjonalnej jak i w szczególności w ramach niestacjonarnych usług opiekuńczych świadczonych w środowisku. Istotnym kierunkiem działania jest także edukowanie społeczeństwa i przeciwdziałanie dyskryminacji osób niepełnosprawnych.</w:t>
      </w:r>
    </w:p>
    <w:p w:rsidR="00567C3E" w:rsidRPr="00C255F2" w:rsidRDefault="00567C3E" w:rsidP="00567C3E">
      <w:pPr>
        <w:spacing w:after="120"/>
        <w:jc w:val="both"/>
        <w:rPr>
          <w:rFonts w:ascii="Garamond" w:hAnsi="Garamond"/>
          <w:b/>
          <w:color w:val="B1059D"/>
        </w:rPr>
      </w:pPr>
      <w:r w:rsidRPr="00C255F2">
        <w:rPr>
          <w:rFonts w:ascii="Garamond" w:hAnsi="Garamond"/>
          <w:b/>
          <w:color w:val="B1059D"/>
        </w:rPr>
        <w:t xml:space="preserve">Doskonalenie zawodowe pracowników socjalnych </w:t>
      </w:r>
    </w:p>
    <w:p w:rsidR="00567C3E" w:rsidRPr="00CC0604" w:rsidRDefault="00567C3E" w:rsidP="00567C3E">
      <w:pPr>
        <w:spacing w:after="120"/>
        <w:ind w:firstLine="709"/>
        <w:jc w:val="both"/>
        <w:rPr>
          <w:rFonts w:ascii="Garamond" w:hAnsi="Garamond"/>
        </w:rPr>
      </w:pPr>
      <w:r w:rsidRPr="00CC0604">
        <w:rPr>
          <w:rFonts w:ascii="Garamond" w:hAnsi="Garamond"/>
        </w:rPr>
        <w:t>Do realizacji niezbędnych w pomocy społecznej zadań potrzebne jest stałe doskonalenie jej kadr. W jednostkach organizacyjnych pomocy społecznej główną rolę w zakresie udzielania wsparcia rodzinie pełnią pracownicy socjalni. Zawód ten stawia zróżnicowane i wysokie wymagania</w:t>
      </w:r>
      <w:r>
        <w:rPr>
          <w:rFonts w:ascii="Garamond" w:hAnsi="Garamond"/>
        </w:rPr>
        <w:t>. Pracownicy służb społecznych P</w:t>
      </w:r>
      <w:r w:rsidRPr="00CC0604">
        <w:rPr>
          <w:rFonts w:ascii="Garamond" w:hAnsi="Garamond"/>
        </w:rPr>
        <w:t xml:space="preserve">owiatu </w:t>
      </w:r>
      <w:r>
        <w:rPr>
          <w:rFonts w:ascii="Garamond" w:hAnsi="Garamond"/>
        </w:rPr>
        <w:t>B</w:t>
      </w:r>
      <w:r w:rsidRPr="00CC0604">
        <w:rPr>
          <w:rFonts w:ascii="Garamond" w:hAnsi="Garamond"/>
        </w:rPr>
        <w:t>rodnickiego posiadają odpowiednie kwalifikacje zawodowe do pracy z klientem zdobyte na podczas rozmaitych kursów, których rezultatem było m. in.: zdobywanie nowych umiejętności z zakresu pracy socjalnej, pogłębianie dotychczasowej wiedzy i umiejętności, wymiana doświadczeń z innymi pracownikami, poznawanie nowych i innowacyjnych technik pracy z rodziną i osobą. Pomimo to, pracownicy socjalni powinni stale podnosić swoją wiedzę i kwalifikacje poprzez udział w szkoleniach, warsztatach, seminariach i konferencjach o m. in. następującej tematyce: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Stres i wypalenie zawodowe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Praca w ramach zespołów interdyscyplinarnych</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Przemoc w rodzinie</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lastRenderedPageBreak/>
        <w:t>Praca z trudnym klientem</w:t>
      </w:r>
    </w:p>
    <w:p w:rsidR="00567C3E" w:rsidRPr="00CC0604" w:rsidRDefault="00567C3E" w:rsidP="00E36E87">
      <w:pPr>
        <w:numPr>
          <w:ilvl w:val="0"/>
          <w:numId w:val="138"/>
        </w:numPr>
        <w:spacing w:after="0"/>
        <w:jc w:val="both"/>
        <w:rPr>
          <w:rFonts w:ascii="Garamond" w:hAnsi="Garamond"/>
          <w:szCs w:val="24"/>
        </w:rPr>
      </w:pPr>
      <w:r w:rsidRPr="00CC0604">
        <w:rPr>
          <w:rFonts w:ascii="Garamond" w:hAnsi="Garamond"/>
          <w:szCs w:val="24"/>
        </w:rPr>
        <w:t>Przeciwdziałanie przemocy w rodzinie</w:t>
      </w:r>
    </w:p>
    <w:p w:rsidR="00567C3E" w:rsidRPr="00CC0604" w:rsidRDefault="00567C3E" w:rsidP="00E36E87">
      <w:pPr>
        <w:numPr>
          <w:ilvl w:val="0"/>
          <w:numId w:val="138"/>
        </w:numPr>
        <w:spacing w:after="120"/>
        <w:ind w:left="714" w:hanging="357"/>
        <w:jc w:val="both"/>
        <w:rPr>
          <w:rFonts w:ascii="Garamond" w:hAnsi="Garamond"/>
          <w:szCs w:val="24"/>
        </w:rPr>
      </w:pPr>
      <w:r w:rsidRPr="00CC0604">
        <w:rPr>
          <w:rFonts w:ascii="Garamond" w:hAnsi="Garamond"/>
          <w:szCs w:val="24"/>
        </w:rPr>
        <w:t>Mediacje rodzinne</w:t>
      </w:r>
    </w:p>
    <w:p w:rsidR="00567C3E" w:rsidRDefault="00567C3E" w:rsidP="00567C3E">
      <w:pPr>
        <w:spacing w:after="0"/>
        <w:ind w:firstLine="709"/>
        <w:jc w:val="both"/>
        <w:rPr>
          <w:rFonts w:ascii="Garamond" w:hAnsi="Garamond"/>
        </w:rPr>
      </w:pPr>
      <w:r w:rsidRPr="00CC0604">
        <w:rPr>
          <w:rFonts w:ascii="Garamond" w:hAnsi="Garamond"/>
        </w:rPr>
        <w:t>Dodatkowo wskazane byłyby szkolenia mające na celu podniesienie poziomu bezpieczeństwa kadry oraz te uzupełniające wiedzę na temat możliwości pozyskania środków finansowych na działania społeczne. Pracownicy socjalni powinni także dokształcać się na studiach podyplomowych związanych z tematyką ich zawodu.</w:t>
      </w:r>
    </w:p>
    <w:p w:rsidR="00567C3E" w:rsidRPr="00C255F2" w:rsidRDefault="00567C3E" w:rsidP="00567C3E">
      <w:pPr>
        <w:spacing w:before="120" w:after="120"/>
        <w:jc w:val="both"/>
        <w:rPr>
          <w:rFonts w:ascii="Garamond" w:eastAsia="Times New Roman" w:hAnsi="Garamond" w:cs="Arial"/>
          <w:b/>
          <w:color w:val="B1059D"/>
        </w:rPr>
      </w:pPr>
      <w:r w:rsidRPr="00C255F2">
        <w:rPr>
          <w:rFonts w:ascii="Garamond" w:eastAsia="Times New Roman" w:hAnsi="Garamond" w:cs="Arial"/>
          <w:b/>
          <w:color w:val="B1059D"/>
        </w:rPr>
        <w:t>Bezdomność</w:t>
      </w:r>
    </w:p>
    <w:p w:rsidR="00567C3E" w:rsidRPr="00CC0604" w:rsidRDefault="00567C3E" w:rsidP="00567C3E">
      <w:pPr>
        <w:spacing w:after="0"/>
        <w:ind w:firstLine="708"/>
        <w:jc w:val="both"/>
        <w:rPr>
          <w:rFonts w:ascii="Garamond" w:eastAsia="Times New Roman" w:hAnsi="Garamond" w:cs="Arial"/>
        </w:rPr>
      </w:pPr>
      <w:r>
        <w:rPr>
          <w:rFonts w:ascii="Garamond" w:eastAsia="Times New Roman" w:hAnsi="Garamond" w:cs="Arial"/>
        </w:rPr>
        <w:t>Na terenie P</w:t>
      </w:r>
      <w:r w:rsidRPr="00CC0604">
        <w:rPr>
          <w:rFonts w:ascii="Garamond" w:eastAsia="Times New Roman" w:hAnsi="Garamond" w:cs="Arial"/>
        </w:rPr>
        <w:t xml:space="preserve">owiatu </w:t>
      </w:r>
      <w:r>
        <w:rPr>
          <w:rFonts w:ascii="Garamond" w:eastAsia="Times New Roman" w:hAnsi="Garamond" w:cs="Arial"/>
        </w:rPr>
        <w:t>B</w:t>
      </w:r>
      <w:r w:rsidRPr="00CC0604">
        <w:rPr>
          <w:rFonts w:ascii="Garamond" w:eastAsia="Times New Roman" w:hAnsi="Garamond" w:cs="Arial"/>
        </w:rPr>
        <w:t xml:space="preserve">rodnickiego działa Ośrodek Wsparcia dla Osób Bezdomnych i Zagrożonych Bezdomnością - Noclegownia, który oferuje osobą bezdomnym nocleg i wyżywienie. W 2014 roku na terenie ORSG było 91 bezdomnych. Główną potrzebą w obszarze zapobiegania temu negatywnemu zjawisku jest realizacja programów wychodzenia z bezdomności oraz jej zapobieganiu.  </w:t>
      </w:r>
    </w:p>
    <w:p w:rsidR="00567C3E" w:rsidRPr="00CC0604" w:rsidRDefault="00567C3E" w:rsidP="00567C3E">
      <w:pPr>
        <w:pStyle w:val="T"/>
      </w:pPr>
      <w:bookmarkStart w:id="44" w:name="_Toc430872000"/>
      <w:r w:rsidRPr="00CC0604">
        <w:t>Tabela 18. Liczba osób bezdomnych w 2014 roku</w:t>
      </w:r>
      <w:bookmarkEnd w:id="44"/>
    </w:p>
    <w:tbl>
      <w:tblPr>
        <w:tblStyle w:val="Styl1"/>
        <w:tblW w:w="4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2235"/>
        <w:gridCol w:w="2363"/>
      </w:tblGrid>
      <w:tr w:rsidR="00567C3E" w:rsidRPr="00CC0604" w:rsidTr="00D32FA7">
        <w:trPr>
          <w:trHeight w:val="264"/>
          <w:jc w:val="center"/>
        </w:trPr>
        <w:tc>
          <w:tcPr>
            <w:tcW w:w="2235" w:type="dxa"/>
            <w:tcBorders>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bCs/>
                <w:color w:val="FFFFFF" w:themeColor="background1"/>
                <w:sz w:val="20"/>
                <w:szCs w:val="20"/>
              </w:rPr>
            </w:pPr>
            <w:r w:rsidRPr="00CC0604">
              <w:rPr>
                <w:rFonts w:ascii="Garamond" w:hAnsi="Garamond" w:cs="Arial"/>
                <w:bCs/>
                <w:color w:val="FFFFFF" w:themeColor="background1"/>
                <w:sz w:val="20"/>
                <w:szCs w:val="20"/>
              </w:rPr>
              <w:t>Jednostka terytorialna</w:t>
            </w:r>
          </w:p>
        </w:tc>
        <w:tc>
          <w:tcPr>
            <w:tcW w:w="2363" w:type="dxa"/>
            <w:tcBorders>
              <w:left w:val="single" w:sz="4" w:space="0" w:color="FFFFFF" w:themeColor="background1"/>
              <w:right w:val="single" w:sz="4" w:space="0" w:color="FFFFFF" w:themeColor="background1"/>
            </w:tcBorders>
            <w:shd w:val="clear" w:color="auto" w:fill="824BB0"/>
          </w:tcPr>
          <w:p w:rsidR="00567C3E" w:rsidRPr="00CC0604" w:rsidRDefault="00567C3E" w:rsidP="00D32FA7">
            <w:pPr>
              <w:spacing w:before="40" w:after="40"/>
              <w:rPr>
                <w:rFonts w:ascii="Garamond" w:hAnsi="Garamond" w:cs="Arial"/>
                <w:color w:val="FFFFFF" w:themeColor="background1"/>
                <w:sz w:val="20"/>
                <w:szCs w:val="20"/>
              </w:rPr>
            </w:pPr>
            <w:r w:rsidRPr="00CC0604">
              <w:rPr>
                <w:rFonts w:ascii="Garamond" w:hAnsi="Garamond" w:cs="Arial"/>
                <w:bCs/>
                <w:color w:val="FFFFFF" w:themeColor="background1"/>
                <w:sz w:val="20"/>
                <w:szCs w:val="20"/>
              </w:rPr>
              <w:t>Liczba osób bezdomnych</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Bartniczka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Bobrowo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g.m</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68</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 xml:space="preserve">Brodnica </w:t>
            </w:r>
            <w:proofErr w:type="spellStart"/>
            <w:r w:rsidRPr="00CC0604">
              <w:rPr>
                <w:rFonts w:ascii="Garamond" w:hAnsi="Garamond"/>
                <w:sz w:val="20"/>
                <w:szCs w:val="20"/>
              </w:rPr>
              <w:t>g.w</w:t>
            </w:r>
            <w:proofErr w:type="spellEnd"/>
            <w:r w:rsidRPr="00CC0604">
              <w:rPr>
                <w:rFonts w:ascii="Garamond" w:hAnsi="Garamond"/>
                <w:sz w:val="20"/>
                <w:szCs w:val="20"/>
              </w:rPr>
              <w:t>.</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13</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Brzozie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Górzno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Jabłonowo Pomorskie</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Osiek</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Świedziebnia</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0</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sz w:val="20"/>
                <w:szCs w:val="20"/>
              </w:rPr>
            </w:pPr>
            <w:r w:rsidRPr="00CC0604">
              <w:rPr>
                <w:rFonts w:ascii="Garamond" w:hAnsi="Garamond"/>
                <w:sz w:val="20"/>
                <w:szCs w:val="20"/>
              </w:rPr>
              <w:t>Zbiczno</w:t>
            </w:r>
          </w:p>
        </w:tc>
        <w:tc>
          <w:tcPr>
            <w:tcW w:w="2363" w:type="dxa"/>
          </w:tcPr>
          <w:p w:rsidR="00567C3E" w:rsidRPr="00CC0604" w:rsidRDefault="00567C3E" w:rsidP="00D32FA7">
            <w:pPr>
              <w:spacing w:before="40" w:after="40"/>
              <w:jc w:val="right"/>
              <w:rPr>
                <w:rFonts w:ascii="Garamond" w:hAnsi="Garamond" w:cs="Arial"/>
                <w:sz w:val="20"/>
                <w:szCs w:val="20"/>
              </w:rPr>
            </w:pPr>
            <w:r w:rsidRPr="00CC0604">
              <w:rPr>
                <w:rFonts w:ascii="Garamond" w:hAnsi="Garamond" w:cs="Arial"/>
                <w:sz w:val="20"/>
                <w:szCs w:val="20"/>
              </w:rPr>
              <w:t>2</w:t>
            </w:r>
          </w:p>
        </w:tc>
      </w:tr>
      <w:tr w:rsidR="00567C3E" w:rsidRPr="00CC0604" w:rsidTr="00D32FA7">
        <w:trPr>
          <w:trHeight w:val="264"/>
          <w:jc w:val="center"/>
        </w:trPr>
        <w:tc>
          <w:tcPr>
            <w:tcW w:w="2235" w:type="dxa"/>
            <w:vAlign w:val="top"/>
          </w:tcPr>
          <w:p w:rsidR="00567C3E" w:rsidRPr="00CC0604" w:rsidRDefault="00567C3E" w:rsidP="00D32FA7">
            <w:pPr>
              <w:spacing w:before="40" w:after="40"/>
              <w:jc w:val="left"/>
              <w:rPr>
                <w:rFonts w:ascii="Garamond" w:hAnsi="Garamond"/>
                <w:b/>
                <w:sz w:val="20"/>
                <w:szCs w:val="20"/>
              </w:rPr>
            </w:pPr>
            <w:r w:rsidRPr="00CC0604">
              <w:rPr>
                <w:rFonts w:ascii="Garamond" w:hAnsi="Garamond"/>
                <w:b/>
                <w:sz w:val="20"/>
                <w:szCs w:val="20"/>
              </w:rPr>
              <w:t>ORSG</w:t>
            </w:r>
          </w:p>
        </w:tc>
        <w:tc>
          <w:tcPr>
            <w:tcW w:w="2363" w:type="dxa"/>
          </w:tcPr>
          <w:p w:rsidR="00567C3E" w:rsidRPr="00CC0604" w:rsidRDefault="00567C3E" w:rsidP="00D32FA7">
            <w:pPr>
              <w:spacing w:before="40" w:after="40"/>
              <w:jc w:val="right"/>
              <w:rPr>
                <w:rFonts w:ascii="Garamond" w:hAnsi="Garamond" w:cs="Arial"/>
                <w:b/>
                <w:sz w:val="20"/>
                <w:szCs w:val="20"/>
              </w:rPr>
            </w:pPr>
            <w:r w:rsidRPr="00CC0604">
              <w:rPr>
                <w:rFonts w:ascii="Garamond" w:hAnsi="Garamond" w:cs="Arial"/>
                <w:b/>
                <w:sz w:val="20"/>
                <w:szCs w:val="20"/>
              </w:rPr>
              <w:t>91</w:t>
            </w:r>
          </w:p>
        </w:tc>
      </w:tr>
    </w:tbl>
    <w:p w:rsidR="00567C3E" w:rsidRPr="007F1FC6" w:rsidRDefault="00567C3E" w:rsidP="00567C3E">
      <w:pPr>
        <w:spacing w:before="120" w:after="120"/>
        <w:jc w:val="both"/>
        <w:rPr>
          <w:rFonts w:ascii="Garamond" w:hAnsi="Garamond"/>
          <w:i/>
          <w:sz w:val="20"/>
        </w:rPr>
      </w:pPr>
      <w:r w:rsidRPr="00CC0604">
        <w:rPr>
          <w:rFonts w:ascii="Garamond" w:hAnsi="Garamond"/>
          <w:sz w:val="20"/>
        </w:rPr>
        <w:t xml:space="preserve">Źródło: </w:t>
      </w:r>
      <w:r w:rsidRPr="00CC0604">
        <w:rPr>
          <w:rFonts w:ascii="Garamond" w:hAnsi="Garamond"/>
          <w:i/>
          <w:sz w:val="20"/>
        </w:rPr>
        <w:t>Opracowanie własne na podstawie danych ośrodków pomocy społecznej gmin z terenu ORSG.</w:t>
      </w:r>
      <w:r w:rsidRPr="007F1FC6">
        <w:rPr>
          <w:rFonts w:ascii="Garamond" w:hAnsi="Garamond"/>
          <w:i/>
          <w:sz w:val="20"/>
        </w:rPr>
        <w:t xml:space="preserve"> </w:t>
      </w:r>
    </w:p>
    <w:p w:rsidR="00567C3E" w:rsidRPr="001534A8" w:rsidRDefault="00567C3E" w:rsidP="00567C3E">
      <w:pPr>
        <w:spacing w:before="240" w:after="240"/>
        <w:jc w:val="both"/>
        <w:rPr>
          <w:rFonts w:ascii="Garamond" w:hAnsi="Garamond"/>
          <w:b/>
          <w:color w:val="B1059D"/>
        </w:rPr>
      </w:pPr>
      <w:r w:rsidRPr="001534A8">
        <w:rPr>
          <w:rFonts w:ascii="Garamond" w:hAnsi="Garamond"/>
          <w:b/>
          <w:color w:val="B1059D"/>
        </w:rPr>
        <w:t>Opieka nad dziećmi do lat 3</w:t>
      </w:r>
    </w:p>
    <w:p w:rsidR="00567C3E" w:rsidRPr="001534A8" w:rsidRDefault="00567C3E" w:rsidP="00567C3E">
      <w:pPr>
        <w:spacing w:after="120"/>
        <w:ind w:firstLine="709"/>
        <w:jc w:val="both"/>
        <w:rPr>
          <w:rFonts w:ascii="Garamond" w:hAnsi="Garamond"/>
        </w:rPr>
      </w:pPr>
      <w:r w:rsidRPr="001534A8">
        <w:rPr>
          <w:rFonts w:ascii="Garamond" w:hAnsi="Garamond"/>
        </w:rPr>
        <w:t xml:space="preserve">Rozwój gospodarczy, społeczny i względy ekonomiczne wymuszają coraz większą potrzebę opieki nad najmłodszymi dziećmi. Niezbędne w tym zakresie jest odpowiednie wsparcie osób powracających na rynek pracy po urlopie macierzyńskim/rodzicielskim związane właśnie z zapewnieniem im możliwości pozostawienia dziecka pod opieką podmiotom lub osobom zewnętrznym. </w:t>
      </w:r>
    </w:p>
    <w:p w:rsidR="00567C3E" w:rsidRPr="00BD1254" w:rsidRDefault="00567C3E" w:rsidP="00567C3E">
      <w:pPr>
        <w:spacing w:after="120"/>
        <w:ind w:firstLine="708"/>
        <w:jc w:val="both"/>
        <w:rPr>
          <w:rFonts w:ascii="Garamond" w:hAnsi="Garamond"/>
        </w:rPr>
      </w:pPr>
      <w:r w:rsidRPr="001534A8">
        <w:rPr>
          <w:rFonts w:ascii="Garamond" w:hAnsi="Garamond"/>
        </w:rPr>
        <w:t>Na całym ORSG, mimo ponad 2600 dzieci w wieku do 3 lat (dane za 2013 r.) funkcjonował jeden klub dziecięcy (w Brodnicy) z 27 miejscami dla dzieci, realizujący opiekę wobec 16 dzieci z Brodnicy i Powiatu Brodnickiego. Mniejsze zainteresowanie mieszkańców obszarów wiejskich usługami żłobkowymi wynika zapewne z tego, że  rolniczy charakter wielu gospodarstw domowych pozwala na to, iż opiekę nad dzieckiem sprawują członkowie rodziny. Ponadto, na terenie ORSG nie prowadzono także żadnych specjalnych działań aktywizacyjno-szkoleniowych dla osób powracających na rynek pracy po urlopach macierzyńskic</w:t>
      </w:r>
      <w:bookmarkStart w:id="45" w:name="_Toc413244444"/>
      <w:r>
        <w:rPr>
          <w:rFonts w:ascii="Garamond" w:hAnsi="Garamond"/>
        </w:rPr>
        <w:t>h/rodzicielskich/wychowawczych.</w:t>
      </w:r>
    </w:p>
    <w:p w:rsidR="00567C3E"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bookmarkEnd w:id="45"/>
    </w:p>
    <w:tbl>
      <w:tblPr>
        <w:tblStyle w:val="Tabela-Siatka"/>
        <w:tblW w:w="0" w:type="auto"/>
        <w:tblInd w:w="108" w:type="dxa"/>
        <w:tblLook w:val="04A0" w:firstRow="1" w:lastRow="0" w:firstColumn="1" w:lastColumn="0" w:noHBand="0" w:noVBand="1"/>
      </w:tblPr>
      <w:tblGrid>
        <w:gridCol w:w="1560"/>
        <w:gridCol w:w="7544"/>
      </w:tblGrid>
      <w:tr w:rsidR="00567C3E" w:rsidRPr="001534A8" w:rsidTr="00D32FA7">
        <w:tc>
          <w:tcPr>
            <w:tcW w:w="9104"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B699089" wp14:editId="1BDADD4B">
                  <wp:extent cx="539654" cy="540000"/>
                  <wp:effectExtent l="19050" t="0" r="0" b="0"/>
                  <wp:docPr id="32" name="Obraz 21"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25B48" w:rsidRDefault="00567C3E" w:rsidP="00D32FA7">
            <w:pPr>
              <w:spacing w:before="20" w:after="20"/>
              <w:jc w:val="both"/>
              <w:rPr>
                <w:rFonts w:ascii="Garamond" w:eastAsia="Calibri" w:hAnsi="Garamond" w:cs="Times New Roman"/>
                <w:sz w:val="20"/>
                <w:szCs w:val="20"/>
              </w:rPr>
            </w:pPr>
            <w:r w:rsidRPr="00125B48">
              <w:rPr>
                <w:rFonts w:ascii="Garamond" w:eastAsia="Calibri" w:hAnsi="Garamond" w:cs="Times New Roman"/>
                <w:sz w:val="20"/>
                <w:szCs w:val="20"/>
              </w:rPr>
              <w:t>Z pomocy społecznej na ORSG korzysta 14% mieszkańców. Podstawowym powodem korzystania z pomocy społecznej jest bezrobocie (31%) i ubóstwo (29</w:t>
            </w:r>
            <w:r w:rsidRPr="00CC0604">
              <w:rPr>
                <w:rFonts w:ascii="Garamond" w:eastAsia="Calibri" w:hAnsi="Garamond" w:cs="Times New Roman"/>
                <w:sz w:val="20"/>
                <w:szCs w:val="20"/>
              </w:rPr>
              <w:t xml:space="preserve">%). W gminach </w:t>
            </w:r>
            <w:r>
              <w:rPr>
                <w:rFonts w:ascii="Garamond" w:eastAsia="Calibri" w:hAnsi="Garamond" w:cs="Times New Roman"/>
                <w:sz w:val="20"/>
                <w:szCs w:val="20"/>
              </w:rPr>
              <w:t>Powiatu B</w:t>
            </w:r>
            <w:r w:rsidRPr="00CC0604">
              <w:rPr>
                <w:rFonts w:ascii="Garamond" w:eastAsia="Calibri" w:hAnsi="Garamond" w:cs="Times New Roman"/>
                <w:sz w:val="20"/>
                <w:szCs w:val="20"/>
              </w:rPr>
              <w:t>rodnickiego w 2014 roku 58% rodzin korzystających z pomocy społecznej korzystała ze świadczeń z powodu ubóstwa, a 61% z powodu bezrobocia.</w:t>
            </w:r>
            <w:r w:rsidRPr="00125B48">
              <w:rPr>
                <w:rFonts w:ascii="Garamond" w:eastAsia="Calibri" w:hAnsi="Garamond" w:cs="Times New Roman"/>
                <w:sz w:val="20"/>
                <w:szCs w:val="20"/>
              </w:rPr>
              <w:t xml:space="preserve"> </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366853F3" wp14:editId="5B69529D">
                  <wp:extent cx="539654" cy="540000"/>
                  <wp:effectExtent l="19050" t="0" r="0" b="0"/>
                  <wp:docPr id="38" name="Obraz 22"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Szczególną grupą osób wymagającą opieki stanowią osoby przebywające/opuszczające rodziny zastępcze i placówki opiekuńczo – wychowawcze. Dlatego ważne jest zapewnienie wsparcia rozwoju wszystkich form pieczy zastępczej oraz odpowiednio rozwiniętych usług profilaktyczno-wspierających, w tym także </w:t>
            </w:r>
            <w:r w:rsidRPr="001534A8">
              <w:rPr>
                <w:rFonts w:ascii="Garamond" w:hAnsi="Garamond"/>
                <w:sz w:val="20"/>
                <w:szCs w:val="20"/>
              </w:rPr>
              <w:t xml:space="preserve">realizacja programów przy pomocy mieszkań chronionych, </w:t>
            </w:r>
            <w:r w:rsidRPr="001534A8">
              <w:rPr>
                <w:rFonts w:ascii="Garamond" w:eastAsia="Calibri" w:hAnsi="Garamond" w:cs="Times New Roman"/>
                <w:sz w:val="20"/>
                <w:szCs w:val="20"/>
              </w:rPr>
              <w:t>przygotowujących osoby opuszczające pieczę zastępczą do prowadzenia samodzielnego życia</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29339DB" wp14:editId="151F8B2F">
                  <wp:extent cx="539654" cy="540000"/>
                  <wp:effectExtent l="19050" t="0" r="0" b="0"/>
                  <wp:docPr id="41" name="Obraz 23"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uwagi na fakt, że społeczeństwo ORSG jest społeczeństwem starzejącym się, w najbliższym czasie odczuwana będzie zwiększona potrzeba rozwoju usług opiekuńczych dla osób starszych. W związku z tym, należy systematycznie rozwijać wszechstronną opiekę nad osobami starszymi, zarówno instytucjonalną, w odpowiednich warunkach, jak i w szczególności w ramach niestacjonarnych usług opiekuńczych świadczonych w środowisku</w:t>
            </w:r>
          </w:p>
        </w:tc>
      </w:tr>
      <w:tr w:rsidR="00567C3E" w:rsidRPr="001534A8" w:rsidTr="00D32FA7">
        <w:tc>
          <w:tcPr>
            <w:tcW w:w="1560"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62B50E1" wp14:editId="76CABA87">
                  <wp:extent cx="539654" cy="540000"/>
                  <wp:effectExtent l="19050" t="0" r="0" b="0"/>
                  <wp:docPr id="42" name="Obraz 24"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całym ORSG mimo ponad 2600 dzieci w wieku do 3 lat (dane na 2013 r.) funkcjonował jeden klub dziecięcy (w Brodnicy). Pomimo niewielkiej liczby miejsc opieki, w Powiecie nie zdiagnozowano znacznego zapotrzebowania na zwiększenie ich ilości. </w:t>
            </w:r>
          </w:p>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nie prowadzono do tej pory działań aktywizacyjno-szkoleniowych dla osób powracających na rynek pracy po urlopach macierzyńskich/rodzicielskich/wychowawczych </w:t>
            </w:r>
          </w:p>
        </w:tc>
      </w:tr>
    </w:tbl>
    <w:p w:rsidR="00567C3E" w:rsidRPr="001534A8" w:rsidRDefault="00567C3E" w:rsidP="00567C3E">
      <w:pPr>
        <w:rPr>
          <w:rFonts w:ascii="Garamond" w:hAnsi="Garamond" w:cs="Arial"/>
          <w:color w:val="FFFFFF" w:themeColor="background1"/>
          <w:sz w:val="28"/>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sz w:val="28"/>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6" w:name="_Toc415228158"/>
            <w:bookmarkStart w:id="47" w:name="_Toc419705518"/>
            <w:r w:rsidRPr="001534A8">
              <w:lastRenderedPageBreak/>
              <w:t>Ochrona zdrowia</w:t>
            </w:r>
            <w:bookmarkEnd w:id="46"/>
            <w:bookmarkEnd w:id="47"/>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785" w:dyaOrig="1875">
                <v:shape id="_x0000_i1028" type="#_x0000_t75" style="width:79.5pt;height:82.5pt" o:ole="">
                  <v:imagedata r:id="rId46" o:title=""/>
                </v:shape>
                <o:OLEObject Type="Embed" ProgID="PBrush" ShapeID="_x0000_i1028" DrawAspect="Content" ObjectID="_1592972276" r:id="rId47"/>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120"/>
        <w:ind w:firstLine="708"/>
        <w:jc w:val="both"/>
        <w:rPr>
          <w:rFonts w:ascii="Garamond" w:hAnsi="Garamond"/>
        </w:rPr>
      </w:pPr>
      <w:r w:rsidRPr="001534A8">
        <w:rPr>
          <w:rFonts w:ascii="Garamond" w:hAnsi="Garamond"/>
        </w:rPr>
        <w:t>Analiza stanu zdrowia w województwie kujawsko-pomorskim wykazała, że sytuacja zdrowotna mężczyzn w skali ogólnopolskiej jest średnia, zaś kobiet – nieznacznie gorsza od przeciętnej dla kraju. Województwo cechuje najwyższy w Polsce poziom umieralności niemowląt. W porównaniu z resztą kraju wyróżnia się ono także dużą umieralnością dorosłych z powodu chorób układu oddechowego. Wysoka jest również częstość hospitalizacji z tego powodu osób w wieku poprodukcyjnym, ale dla osób w wieku produkcyjnym nie różni się ona od przeciętnej dla ogółu województw</w:t>
      </w:r>
      <w:r w:rsidRPr="001534A8">
        <w:rPr>
          <w:rStyle w:val="Odwoanieprzypisudolnego"/>
          <w:rFonts w:ascii="Garamond" w:hAnsi="Garamond"/>
        </w:rPr>
        <w:footnoteReference w:id="7"/>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 takim stanie rzeczy decyduje w dużej mierze jakość opieki zdrowotnej, zarówno w zakresie podstawowej opieki zdrowotnej (POZ), jak i opieki specjalistycznej oferowanej przez przychodnie lekarskie i szpitale.</w:t>
      </w:r>
    </w:p>
    <w:p w:rsidR="00567C3E" w:rsidRPr="001534A8" w:rsidRDefault="00567C3E" w:rsidP="00567C3E">
      <w:pPr>
        <w:pStyle w:val="T"/>
      </w:pPr>
      <w:bookmarkStart w:id="48" w:name="_Toc430872001"/>
      <w:r w:rsidRPr="001534A8">
        <w:t>Tabela 1</w:t>
      </w:r>
      <w:r>
        <w:t>9</w:t>
      </w:r>
      <w:r w:rsidRPr="001534A8">
        <w:t>. Ambulatoryjna opieka zdrowotna na ORSG Powiatu Brodnickiego w 2013 r.</w:t>
      </w:r>
      <w:bookmarkEnd w:id="48"/>
    </w:p>
    <w:tbl>
      <w:tblPr>
        <w:tblStyle w:val="Styl1"/>
        <w:tblW w:w="751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00" w:firstRow="0" w:lastRow="0" w:firstColumn="0" w:lastColumn="0" w:noHBand="0" w:noVBand="0"/>
      </w:tblPr>
      <w:tblGrid>
        <w:gridCol w:w="1989"/>
        <w:gridCol w:w="1587"/>
        <w:gridCol w:w="1701"/>
        <w:gridCol w:w="2242"/>
      </w:tblGrid>
      <w:tr w:rsidR="00567C3E" w:rsidRPr="001534A8" w:rsidTr="00D32FA7">
        <w:trPr>
          <w:trHeight w:val="264"/>
          <w:jc w:val="center"/>
        </w:trPr>
        <w:tc>
          <w:tcPr>
            <w:tcW w:w="1989" w:type="dxa"/>
            <w:tcBorders>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Jednostka terytorialna</w:t>
            </w:r>
          </w:p>
        </w:tc>
        <w:tc>
          <w:tcPr>
            <w:tcW w:w="1587"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color w:val="FFFFFF" w:themeColor="background1"/>
                <w:sz w:val="20"/>
                <w:szCs w:val="20"/>
              </w:rPr>
            </w:pPr>
            <w:r w:rsidRPr="001534A8">
              <w:rPr>
                <w:rFonts w:ascii="Garamond" w:hAnsi="Garamond" w:cs="Arial"/>
                <w:bCs/>
                <w:color w:val="FFFFFF" w:themeColor="background1"/>
                <w:sz w:val="20"/>
                <w:szCs w:val="20"/>
              </w:rPr>
              <w:t>Przychodnie ogółem</w:t>
            </w:r>
          </w:p>
        </w:tc>
        <w:tc>
          <w:tcPr>
            <w:tcW w:w="1701"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color w:val="FFFFFF" w:themeColor="background1"/>
                <w:sz w:val="20"/>
                <w:szCs w:val="20"/>
              </w:rPr>
              <w:t>Porady w zakresie ambulatoryjnej opieki zdrowotnej</w:t>
            </w:r>
            <w:r w:rsidRPr="001534A8">
              <w:rPr>
                <w:rStyle w:val="Odwoanieprzypisudolnego"/>
                <w:rFonts w:ascii="Garamond" w:hAnsi="Garamond" w:cs="Arial"/>
                <w:color w:val="FFFFFF" w:themeColor="background1"/>
              </w:rPr>
              <w:footnoteReference w:id="8"/>
            </w:r>
          </w:p>
        </w:tc>
        <w:tc>
          <w:tcPr>
            <w:tcW w:w="2242" w:type="dxa"/>
            <w:tcBorders>
              <w:left w:val="single" w:sz="4" w:space="0" w:color="FFFFFF" w:themeColor="background1"/>
            </w:tcBorders>
            <w:shd w:val="clear" w:color="auto" w:fill="824BB0"/>
          </w:tcPr>
          <w:p w:rsidR="00567C3E" w:rsidRPr="001534A8" w:rsidRDefault="00567C3E" w:rsidP="00D32FA7">
            <w:pPr>
              <w:spacing w:before="40" w:after="40"/>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Porady ogólnodostępne razem - porady POZ i lekarza rodzinnego</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Bartniczka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15 226</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Bobrowo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13 429</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188 733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312 451</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Brzozie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9 072</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9 998</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Górzno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12 336</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13 212</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Jabłonowo Pomorskie</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5</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46 053</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46 595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Osiek</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16 255</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Świedziebnia</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21 938</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22 380</w:t>
            </w:r>
          </w:p>
        </w:tc>
      </w:tr>
      <w:tr w:rsidR="00567C3E" w:rsidRPr="001534A8" w:rsidTr="00D32FA7">
        <w:trPr>
          <w:trHeight w:val="264"/>
          <w:jc w:val="center"/>
        </w:trPr>
        <w:tc>
          <w:tcPr>
            <w:tcW w:w="1989" w:type="dxa"/>
            <w:vAlign w:val="top"/>
          </w:tcPr>
          <w:p w:rsidR="00567C3E" w:rsidRPr="001534A8" w:rsidRDefault="00567C3E" w:rsidP="00D32FA7">
            <w:pPr>
              <w:spacing w:before="40" w:after="40"/>
              <w:jc w:val="left"/>
              <w:rPr>
                <w:rFonts w:ascii="Garamond" w:hAnsi="Garamond"/>
                <w:sz w:val="20"/>
                <w:szCs w:val="20"/>
              </w:rPr>
            </w:pPr>
            <w:r w:rsidRPr="001534A8">
              <w:rPr>
                <w:rFonts w:ascii="Garamond" w:hAnsi="Garamond"/>
                <w:sz w:val="20"/>
                <w:szCs w:val="20"/>
              </w:rPr>
              <w:t>Zbiczno</w:t>
            </w:r>
          </w:p>
        </w:tc>
        <w:tc>
          <w:tcPr>
            <w:tcW w:w="1587"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w:t>
            </w:r>
          </w:p>
        </w:tc>
        <w:tc>
          <w:tcPr>
            <w:tcW w:w="1701"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c>
          <w:tcPr>
            <w:tcW w:w="2242" w:type="dxa"/>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22 864</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Na terenie ORSG funkcjonuje 35 przychodni lekarskich, które w głównej mierze prowadzą podstawową opiekę zdrowotną. Potrzeby rozwoju POZ sprowadzają się przede wszystkim do:</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Poprawy jakości świadczonych usług medycznych</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Prowadzenia szkoleń mających na celu podniesienie kwalifikacji zawodowych lekarzy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Doposażenia przychodni w nowoczesny sprzęt medyczny</w:t>
      </w:r>
    </w:p>
    <w:p w:rsidR="00567C3E" w:rsidRPr="001534A8" w:rsidRDefault="00567C3E" w:rsidP="00567C3E">
      <w:pPr>
        <w:pStyle w:val="Akapitzlist"/>
        <w:numPr>
          <w:ilvl w:val="0"/>
          <w:numId w:val="31"/>
        </w:numPr>
        <w:spacing w:before="120" w:after="120"/>
        <w:jc w:val="both"/>
        <w:rPr>
          <w:rFonts w:ascii="Garamond" w:hAnsi="Garamond"/>
        </w:rPr>
      </w:pPr>
      <w:r w:rsidRPr="001534A8">
        <w:rPr>
          <w:rFonts w:ascii="Garamond" w:hAnsi="Garamond"/>
        </w:rPr>
        <w:t>Przeszkolenia personelu medycznego w zakresie obsługi zakupionego sprzętu</w:t>
      </w:r>
    </w:p>
    <w:p w:rsidR="00567C3E" w:rsidRPr="001534A8" w:rsidRDefault="00567C3E" w:rsidP="00567C3E">
      <w:pPr>
        <w:spacing w:after="120"/>
        <w:ind w:firstLine="709"/>
        <w:jc w:val="both"/>
        <w:rPr>
          <w:rFonts w:ascii="Garamond" w:hAnsi="Garamond"/>
        </w:rPr>
      </w:pPr>
      <w:r w:rsidRPr="001534A8">
        <w:rPr>
          <w:rFonts w:ascii="Garamond" w:hAnsi="Garamond"/>
        </w:rPr>
        <w:t xml:space="preserve">Opieka specjalistyczna w gminach wiejskich realizowana jest w bardzo niewielkim stopniu. Właściwie cała </w:t>
      </w:r>
      <w:proofErr w:type="spellStart"/>
      <w:r w:rsidRPr="001534A8">
        <w:rPr>
          <w:rFonts w:ascii="Garamond" w:hAnsi="Garamond"/>
        </w:rPr>
        <w:t>specjalistyka</w:t>
      </w:r>
      <w:proofErr w:type="spellEnd"/>
      <w:r w:rsidRPr="001534A8">
        <w:rPr>
          <w:rFonts w:ascii="Garamond" w:hAnsi="Garamond"/>
        </w:rPr>
        <w:t xml:space="preserve"> skupia się wokół Powiatowego Szpitala w Brodnicy.</w:t>
      </w:r>
    </w:p>
    <w:p w:rsidR="00567C3E" w:rsidRPr="001534A8" w:rsidRDefault="00567C3E" w:rsidP="00567C3E">
      <w:pPr>
        <w:spacing w:after="120"/>
        <w:jc w:val="both"/>
        <w:rPr>
          <w:rFonts w:ascii="Garamond" w:hAnsi="Garamond"/>
        </w:rPr>
      </w:pPr>
      <w:r w:rsidRPr="001534A8">
        <w:rPr>
          <w:rFonts w:ascii="Garamond" w:hAnsi="Garamond"/>
        </w:rPr>
        <w:t>W zakresie opieki ambulatoryjnej w Szpitalu funkcjonują:</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lastRenderedPageBreak/>
        <w:t>Poradnia Chirurgii Ogólnej (w tym Gabinet Urologiczny)</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Urazowo-Ortopedyczna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Preluksacyjna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Patologii Noworodka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Chorób Płuc</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Diabetologiczna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Zdrowia Psychicznego</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Psychologiczna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Profilaktyki Onkologicznej</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Rehabilitacyjna</w:t>
      </w:r>
    </w:p>
    <w:p w:rsidR="00567C3E" w:rsidRPr="001534A8" w:rsidRDefault="00567C3E" w:rsidP="00567C3E">
      <w:pPr>
        <w:pStyle w:val="Akapitzlist"/>
        <w:numPr>
          <w:ilvl w:val="0"/>
          <w:numId w:val="23"/>
        </w:numPr>
        <w:spacing w:after="120"/>
        <w:jc w:val="both"/>
        <w:rPr>
          <w:rFonts w:ascii="Garamond" w:hAnsi="Garamond"/>
        </w:rPr>
      </w:pPr>
      <w:r w:rsidRPr="001534A8">
        <w:rPr>
          <w:rFonts w:ascii="Garamond" w:hAnsi="Garamond"/>
        </w:rPr>
        <w:t>Poradnia Położniczo-Ginekologiczna</w:t>
      </w:r>
    </w:p>
    <w:p w:rsidR="00567C3E" w:rsidRPr="001534A8" w:rsidRDefault="00567C3E" w:rsidP="00567C3E">
      <w:pPr>
        <w:spacing w:after="120"/>
        <w:jc w:val="both"/>
        <w:rPr>
          <w:rFonts w:ascii="Garamond" w:hAnsi="Garamond"/>
        </w:rPr>
      </w:pPr>
      <w:r w:rsidRPr="001534A8">
        <w:rPr>
          <w:rFonts w:ascii="Garamond" w:hAnsi="Garamond"/>
        </w:rPr>
        <w:t>W zakresie stacjonarnych, całodobowych świadczeń medycznych działają:</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Szpitalny Oddział Ratunkowy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Chirurgii Ogólnej</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Urazowo-Ortopedyczny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Wewnętrzny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Intensywnej Terapii i Anestezjologii</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Położniczo-Ginekologiczny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Dziecięcy</w:t>
      </w:r>
    </w:p>
    <w:p w:rsidR="00567C3E" w:rsidRPr="001534A8" w:rsidRDefault="00567C3E" w:rsidP="00567C3E">
      <w:pPr>
        <w:pStyle w:val="Akapitzlist"/>
        <w:numPr>
          <w:ilvl w:val="0"/>
          <w:numId w:val="22"/>
        </w:numPr>
        <w:spacing w:after="120"/>
        <w:jc w:val="both"/>
        <w:rPr>
          <w:rFonts w:ascii="Garamond" w:hAnsi="Garamond"/>
        </w:rPr>
      </w:pPr>
      <w:r w:rsidRPr="001534A8">
        <w:rPr>
          <w:rFonts w:ascii="Garamond" w:hAnsi="Garamond"/>
        </w:rPr>
        <w:t>Oddział Neonatologiczny</w:t>
      </w:r>
    </w:p>
    <w:p w:rsidR="00567C3E" w:rsidRPr="001534A8" w:rsidRDefault="00567C3E" w:rsidP="00567C3E">
      <w:pPr>
        <w:spacing w:after="120"/>
        <w:jc w:val="both"/>
        <w:rPr>
          <w:rFonts w:ascii="Garamond" w:hAnsi="Garamond"/>
        </w:rPr>
      </w:pPr>
      <w:r w:rsidRPr="001534A8">
        <w:rPr>
          <w:rFonts w:ascii="Garamond" w:hAnsi="Garamond"/>
        </w:rPr>
        <w:t>Pozostałe ośrodki medyczne:</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Blok Operacyjny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Pielęgnacyjno-Opiekuńczy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Zakład Fizjoterapii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Ratowniczy Transport Medyczny</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(POZ)</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Podstawowa Opieka Zdrowotna Nocna i Świąteczna (POZN)</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Dział Farmacji</w:t>
      </w:r>
    </w:p>
    <w:p w:rsidR="00567C3E" w:rsidRPr="001534A8" w:rsidRDefault="00567C3E" w:rsidP="00567C3E">
      <w:pPr>
        <w:pStyle w:val="Akapitzlist"/>
        <w:numPr>
          <w:ilvl w:val="0"/>
          <w:numId w:val="24"/>
        </w:numPr>
        <w:spacing w:after="120"/>
        <w:jc w:val="both"/>
        <w:rPr>
          <w:rFonts w:ascii="Garamond" w:hAnsi="Garamond"/>
        </w:rPr>
      </w:pPr>
      <w:r w:rsidRPr="001534A8">
        <w:rPr>
          <w:rFonts w:ascii="Garamond" w:hAnsi="Garamond"/>
        </w:rPr>
        <w:t xml:space="preserve">Stacja Dializ (prowadzona przez B. Braun </w:t>
      </w:r>
      <w:proofErr w:type="spellStart"/>
      <w:r w:rsidRPr="001534A8">
        <w:rPr>
          <w:rFonts w:ascii="Garamond" w:hAnsi="Garamond"/>
        </w:rPr>
        <w:t>Avitum</w:t>
      </w:r>
      <w:proofErr w:type="spellEnd"/>
      <w:r w:rsidRPr="001534A8">
        <w:rPr>
          <w:rFonts w:ascii="Garamond" w:hAnsi="Garamond"/>
        </w:rPr>
        <w:t xml:space="preserve"> Poland sp. z. o. o.)</w:t>
      </w:r>
    </w:p>
    <w:p w:rsidR="00567C3E" w:rsidRPr="001534A8" w:rsidRDefault="00567C3E" w:rsidP="00567C3E">
      <w:pPr>
        <w:spacing w:after="120"/>
        <w:jc w:val="both"/>
        <w:rPr>
          <w:rFonts w:ascii="Garamond" w:hAnsi="Garamond"/>
        </w:rPr>
      </w:pPr>
      <w:r w:rsidRPr="001534A8">
        <w:rPr>
          <w:rFonts w:ascii="Garamond" w:hAnsi="Garamond"/>
        </w:rPr>
        <w:t>W zakresie diagnostyki w Szpitalu funkcjonują:</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Zakład Radiologii Ogólnej i Diagnostyki Obrazowej</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Laboratorium</w:t>
      </w:r>
    </w:p>
    <w:p w:rsidR="00567C3E" w:rsidRPr="001534A8" w:rsidRDefault="00567C3E" w:rsidP="00567C3E">
      <w:pPr>
        <w:pStyle w:val="Akapitzlist"/>
        <w:numPr>
          <w:ilvl w:val="0"/>
          <w:numId w:val="25"/>
        </w:numPr>
        <w:spacing w:after="120"/>
        <w:jc w:val="both"/>
        <w:rPr>
          <w:rFonts w:ascii="Garamond" w:hAnsi="Garamond"/>
        </w:rPr>
      </w:pPr>
      <w:r w:rsidRPr="001534A8">
        <w:rPr>
          <w:rFonts w:ascii="Garamond" w:hAnsi="Garamond"/>
        </w:rPr>
        <w:t>Pracownia Endoskopowa</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Szpital zgłasza szereg potrzeb inwestycyjnych, z których najważniejszą jest zakup sprzętu medycznego. Jego potrzeby obejmują przede wszystkim doposażenie w aparaturę niezbędną do leczenia chorych oraz łóżka dla pacjentów. </w:t>
      </w:r>
    </w:p>
    <w:p w:rsidR="00567C3E" w:rsidRPr="001534A8" w:rsidRDefault="00567C3E" w:rsidP="00567C3E">
      <w:pPr>
        <w:spacing w:after="120"/>
        <w:ind w:firstLine="708"/>
        <w:jc w:val="both"/>
        <w:rPr>
          <w:rFonts w:ascii="Garamond" w:hAnsi="Garamond"/>
        </w:rPr>
      </w:pPr>
      <w:r w:rsidRPr="001534A8">
        <w:rPr>
          <w:rFonts w:ascii="Garamond" w:hAnsi="Garamond"/>
        </w:rPr>
        <w:t>W Brodnicy znajduje się filia Hospicjum „Światło” świadczącego domową opiekę zdrowotną.</w:t>
      </w:r>
    </w:p>
    <w:p w:rsidR="00567C3E" w:rsidRPr="001534A8" w:rsidRDefault="00567C3E" w:rsidP="00567C3E">
      <w:pPr>
        <w:spacing w:after="120"/>
        <w:jc w:val="both"/>
        <w:rPr>
          <w:rFonts w:ascii="Garamond" w:hAnsi="Garamond"/>
        </w:rPr>
      </w:pPr>
      <w:r w:rsidRPr="001534A8">
        <w:rPr>
          <w:rFonts w:ascii="Garamond" w:hAnsi="Garamond"/>
        </w:rPr>
        <w:t>Zapotrzebowanie na programy profilaktyczne i działania edukacyjne w obszarze zdrowia: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 xml:space="preserve">profilaktyka nowotworów (płuc, piersi, szyjki macicy, prostaty, jelita grubego)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Arial"/>
        </w:rPr>
        <w:lastRenderedPageBreak/>
        <w:t xml:space="preserve">działania edukacyjno-lecznicze z zakresu otyłości i nadwagi </w:t>
      </w:r>
      <w:r w:rsidRPr="001534A8">
        <w:rPr>
          <w:rFonts w:ascii="Garamond" w:hAnsi="Garamond" w:cs="Calibri"/>
        </w:rPr>
        <w:t xml:space="preserve">oraz </w:t>
      </w:r>
      <w:r w:rsidRPr="001534A8">
        <w:rPr>
          <w:rFonts w:ascii="Garamond" w:hAnsi="Garamond" w:cs="Arial"/>
        </w:rPr>
        <w:t xml:space="preserve">promowania zdrowego stylu życia </w:t>
      </w:r>
      <w:r w:rsidRPr="001534A8">
        <w:rPr>
          <w:rFonts w:ascii="Garamond" w:hAnsi="Garamond" w:cs="Calibri"/>
        </w:rPr>
        <w:t xml:space="preserve">u dzieci, młodzieży i dorosłych </w:t>
      </w:r>
    </w:p>
    <w:p w:rsidR="00567C3E" w:rsidRPr="001534A8" w:rsidRDefault="00567C3E" w:rsidP="00567C3E">
      <w:pPr>
        <w:pStyle w:val="Akapitzlist"/>
        <w:numPr>
          <w:ilvl w:val="0"/>
          <w:numId w:val="6"/>
        </w:numPr>
        <w:spacing w:after="0"/>
        <w:contextualSpacing w:val="0"/>
        <w:jc w:val="both"/>
        <w:rPr>
          <w:rFonts w:ascii="Garamond" w:hAnsi="Garamond" w:cs="Arial"/>
        </w:rPr>
      </w:pPr>
      <w:r w:rsidRPr="001534A8">
        <w:rPr>
          <w:rFonts w:ascii="Garamond" w:hAnsi="Garamond" w:cs="Calibri"/>
        </w:rPr>
        <w:t>programy z zakresu ochrony zdrowia psychicznego (walka ze stresem, depresją)</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Calibri"/>
        </w:rPr>
        <w:t>wczesne wykrywanie żółtaczki (WZW)</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 xml:space="preserve">profilaktyka chorób układu krążenia, chorób </w:t>
      </w:r>
      <w:proofErr w:type="spellStart"/>
      <w:r w:rsidRPr="001534A8">
        <w:rPr>
          <w:rFonts w:ascii="Garamond" w:hAnsi="Garamond" w:cs="Calibri"/>
        </w:rPr>
        <w:t>odtytoniowych</w:t>
      </w:r>
      <w:proofErr w:type="spellEnd"/>
      <w:r w:rsidRPr="001534A8">
        <w:rPr>
          <w:rFonts w:ascii="Garamond" w:hAnsi="Garamond" w:cs="Calibri"/>
        </w:rPr>
        <w:t>, cukrzycy, gruźlicy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przesiewowych badań słuchu u noworodków, badań w kierunku alergii dla dzieci i młodzieży</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profilaktyka próchnicy dla dzieci</w:t>
      </w:r>
    </w:p>
    <w:p w:rsidR="00567C3E" w:rsidRPr="001534A8" w:rsidRDefault="00567C3E" w:rsidP="00567C3E">
      <w:pPr>
        <w:pStyle w:val="Akapitzlist"/>
        <w:numPr>
          <w:ilvl w:val="0"/>
          <w:numId w:val="6"/>
        </w:numPr>
        <w:spacing w:after="0"/>
        <w:contextualSpacing w:val="0"/>
        <w:jc w:val="both"/>
        <w:rPr>
          <w:rFonts w:ascii="Garamond" w:hAnsi="Garamond" w:cs="Calibri"/>
        </w:rPr>
      </w:pPr>
      <w:r w:rsidRPr="001534A8">
        <w:rPr>
          <w:rFonts w:ascii="Garamond" w:hAnsi="Garamond" w:cs="Calibri"/>
        </w:rPr>
        <w:t>propagowanie szkół rodzenia</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zapobieganie narkomanii i  alkoholizmowi</w:t>
      </w:r>
    </w:p>
    <w:p w:rsidR="00567C3E" w:rsidRPr="001534A8" w:rsidRDefault="00567C3E" w:rsidP="00567C3E">
      <w:pPr>
        <w:pStyle w:val="Akapitzlist"/>
        <w:numPr>
          <w:ilvl w:val="0"/>
          <w:numId w:val="6"/>
        </w:numPr>
        <w:spacing w:after="0"/>
        <w:jc w:val="both"/>
        <w:rPr>
          <w:rFonts w:ascii="Garamond" w:hAnsi="Garamond" w:cs="Arial"/>
        </w:rPr>
      </w:pPr>
      <w:r w:rsidRPr="001534A8">
        <w:rPr>
          <w:rFonts w:ascii="Garamond" w:hAnsi="Garamond" w:cs="Arial"/>
        </w:rPr>
        <w:t>przeciwdziałanie przemocy w rodzinie</w:t>
      </w:r>
    </w:p>
    <w:p w:rsidR="00567C3E" w:rsidRDefault="00567C3E" w:rsidP="00567C3E">
      <w:pPr>
        <w:keepNext/>
        <w:keepLines/>
        <w:spacing w:before="240" w:after="240"/>
        <w:ind w:firstLine="708"/>
        <w:jc w:val="both"/>
        <w:outlineLvl w:val="1"/>
        <w:rPr>
          <w:rFonts w:ascii="Garamond" w:eastAsia="Times New Roman" w:hAnsi="Garamond" w:cs="Times New Roman"/>
          <w:bCs/>
          <w:szCs w:val="26"/>
        </w:rPr>
      </w:pPr>
      <w:r w:rsidRPr="00CC0604">
        <w:rPr>
          <w:rFonts w:ascii="Garamond" w:eastAsia="Times New Roman" w:hAnsi="Garamond" w:cs="Times New Roman"/>
          <w:bCs/>
          <w:szCs w:val="26"/>
        </w:rPr>
        <w:t>Jednym z problemów zdiagnozowanych w obszarze ochrony zdrowia jest utrudniony dostęp do specjalistycznej opieki zdrowotnej dla mieszkańców. Usługi te świadczą wyspecjalizowane jednostki zlokalizowane w większych miastach (tj. Brodnicy, Toruniu, Bydgoszczy czy Grudziądzu). Dojazd do nich, ze względu na brak dogodnych połączeń komunikacyjnych, stanowi znaczne utrudnienie dla mieszkańców, szczególnie tych starszych i niepełnosprawnych.</w:t>
      </w:r>
      <w:r>
        <w:rPr>
          <w:rFonts w:ascii="Garamond" w:eastAsia="Times New Roman" w:hAnsi="Garamond" w:cs="Times New Roman"/>
          <w:bCs/>
          <w:szCs w:val="26"/>
        </w:rPr>
        <w:t xml:space="preserve"> </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A62B15F" wp14:editId="173B6BBF">
                  <wp:extent cx="539654" cy="540000"/>
                  <wp:effectExtent l="19050" t="0" r="0" b="0"/>
                  <wp:docPr id="2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rPr>
            </w:pPr>
            <w:r w:rsidRPr="001534A8">
              <w:rPr>
                <w:rFonts w:ascii="Garamond" w:hAnsi="Garamond" w:cs="Calibri"/>
                <w:sz w:val="20"/>
              </w:rPr>
              <w:t xml:space="preserve">Problem stanowi utrudniony dostęp do specjalistycznej opieki zdrowotnej (szczególnie dla osób </w:t>
            </w:r>
            <w:r w:rsidRPr="00CC0604">
              <w:rPr>
                <w:rFonts w:ascii="Garamond" w:hAnsi="Garamond" w:cs="Calibri"/>
                <w:sz w:val="20"/>
              </w:rPr>
              <w:t>starszych i niepełnosprawnych), spowodowany m.in. brakiem dogodnych połączeń komunikacyjnych do większych miast regionu (</w:t>
            </w:r>
            <w:r w:rsidRPr="001534A8">
              <w:rPr>
                <w:rFonts w:ascii="Garamond" w:hAnsi="Garamond" w:cs="Calibri"/>
                <w:sz w:val="20"/>
              </w:rPr>
              <w:t>Brodnicy, Torunia, Bydgoszczy, Grudziądza), gdzie jest szerszy dostęp do usług zdrowotnych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5DA136E2" wp14:editId="0CC3544C">
                  <wp:extent cx="539654" cy="540000"/>
                  <wp:effectExtent l="19050" t="0" r="0" b="0"/>
                  <wp:docPr id="2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Usługi w zakresie ochrony zdrowia w poszczególnych gminach ograniczają się jedynie do podstawowej opieki zdrowotnej. Szersza oferta badań specjalistycz</w:t>
            </w:r>
            <w:r>
              <w:rPr>
                <w:rFonts w:ascii="Garamond" w:hAnsi="Garamond"/>
                <w:sz w:val="20"/>
                <w:szCs w:val="20"/>
              </w:rPr>
              <w:t>nych dostępna jest na poziomie P</w:t>
            </w:r>
            <w:r w:rsidRPr="001534A8">
              <w:rPr>
                <w:rFonts w:ascii="Garamond" w:hAnsi="Garamond"/>
                <w:sz w:val="20"/>
                <w:szCs w:val="20"/>
              </w:rPr>
              <w:t>owiatu w ramach usług oferowanych przez Powiatowy Szpitala w Brodnicy. W związku z tym konieczne jest wsparcie dla szpitala, które będzie przyczyniać się do podniesienia jakości świadczonych usług specjalistycznych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3C859311" wp14:editId="6B67DA80">
                  <wp:extent cx="539654" cy="540000"/>
                  <wp:effectExtent l="19050" t="0" r="0" b="0"/>
                  <wp:docPr id="2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Biorąc pod uwagę prognozy demograficzne, niezmiernie ważne w najbliższych latach będzie dostosowanie oferty w zakresie usług ochrony zdrowia, w szczególności do potrzeb osób starszych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A364CDA" wp14:editId="602EED55">
                  <wp:extent cx="539654" cy="540000"/>
                  <wp:effectExtent l="19050" t="0" r="0" b="0"/>
                  <wp:docPr id="2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Stopniowy wzrost liczby osób starszych w ogólnej liczbie mieszkańców ORSG ma wpływ na konieczność opracowania programów profilaktycznych oraz działań i akcji profilaktyczno-diagnostycznych mających na celu zachowanie sprawności fizycznej i psychicznej ludności do późnego wieku. Polepszenie stanu zdrowia ludności w konsekwencji pozytywnie wpłynie na ograniczenie kosztów opieki medycznej i usług opiekuńczych. Pojawia się tu również potrzeba w zakresie zapewnienia szkoleń dla lekarzy w zakresie geriatrii oraz popularyzacji tej specjalizacji</w:t>
            </w:r>
          </w:p>
        </w:tc>
      </w:tr>
    </w:tbl>
    <w:p w:rsidR="00567C3E" w:rsidRPr="001534A8" w:rsidRDefault="00567C3E" w:rsidP="00567C3E">
      <w:pPr>
        <w:rPr>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49" w:name="_Toc415228159"/>
            <w:bookmarkStart w:id="50" w:name="_Toc419705519"/>
            <w:r w:rsidRPr="001534A8">
              <w:lastRenderedPageBreak/>
              <w:t>Edukacja</w:t>
            </w:r>
            <w:bookmarkEnd w:id="49"/>
            <w:bookmarkEnd w:id="50"/>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8"/>
              </w:rPr>
            </w:pPr>
            <w:r w:rsidRPr="001534A8">
              <w:object w:dxaOrig="1005" w:dyaOrig="1740">
                <v:shape id="_x0000_i1029" type="#_x0000_t75" style="width:57pt;height:93.75pt" o:ole="">
                  <v:imagedata r:id="rId48" o:title=""/>
                </v:shape>
                <o:OLEObject Type="Embed" ProgID="PBrush" ShapeID="_x0000_i1029" DrawAspect="Content" ObjectID="_1592972277" r:id="rId49"/>
              </w:object>
            </w:r>
          </w:p>
        </w:tc>
      </w:tr>
    </w:tbl>
    <w:p w:rsidR="00567C3E" w:rsidRPr="001534A8" w:rsidRDefault="00567C3E" w:rsidP="00567C3E">
      <w:pPr>
        <w:spacing w:after="120"/>
        <w:ind w:firstLine="709"/>
        <w:jc w:val="both"/>
        <w:rPr>
          <w:rFonts w:ascii="Garamond" w:hAnsi="Garamond" w:cs="Arial"/>
        </w:rPr>
      </w:pP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Mieszkańcy województwa kujawsko-pomorskiego charakteryzowali się niższym niż przeciętnie poziomem wykształcenia. W 2012 r. osoby z wykształceniem wyższym stanowili 16,4% mieszkańców regionu, co lokowało województwo na 14 pozycji w kraju. Najliczniejszą grupę mieszkańców województwa (28,6%) stanowiły osoby z wykształceniem zasadniczym zawodowym. Kolejną – osoby z wykształceniem podstawowym, gimnazjalnym i niższym (23,6% osób). </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Edukacja przedszkolna</w:t>
      </w:r>
    </w:p>
    <w:p w:rsidR="00567C3E" w:rsidRPr="001534A8" w:rsidRDefault="00567C3E" w:rsidP="00567C3E">
      <w:pPr>
        <w:spacing w:after="120"/>
        <w:ind w:firstLine="708"/>
        <w:jc w:val="both"/>
        <w:rPr>
          <w:rFonts w:ascii="Garamond" w:hAnsi="Garamond"/>
          <w:color w:val="FF0000"/>
          <w:u w:val="single"/>
        </w:rPr>
      </w:pPr>
      <w:r w:rsidRPr="001534A8">
        <w:rPr>
          <w:rFonts w:ascii="Garamond" w:hAnsi="Garamond"/>
        </w:rPr>
        <w:t>Jednym z głównych wyzwań i potrzeb w zakresie rozwoju edukacji przedszkolnej wynikających z RPO WK-P na lata 2014 -2020 jest podniesienie stopnia jej upowszechniania oraz zapewnianie równego dostępu do dobrej jakości wczesnej edukacji elementarnej.</w:t>
      </w:r>
    </w:p>
    <w:p w:rsidR="00567C3E" w:rsidRPr="001534A8" w:rsidRDefault="00567C3E" w:rsidP="00567C3E">
      <w:pPr>
        <w:spacing w:after="120"/>
        <w:ind w:firstLine="709"/>
        <w:jc w:val="both"/>
        <w:rPr>
          <w:rFonts w:ascii="Garamond" w:hAnsi="Garamond"/>
        </w:rPr>
      </w:pPr>
      <w:r w:rsidRPr="001534A8">
        <w:rPr>
          <w:rFonts w:ascii="Garamond" w:hAnsi="Garamond"/>
        </w:rPr>
        <w:t>Wskaźnik upowszechnienia wychowania przedszkolnego dzieci w wieku 3-4 lat w roku szkolnym 2012/2013 w województwie kujawsko-pomorskim wyniósł 48,4%, co plasowało je na przedostatnim miejscu w kraju (wskaźnik dla kraju wynosił 59,3%)</w:t>
      </w:r>
      <w:r w:rsidRPr="001534A8">
        <w:rPr>
          <w:rStyle w:val="Odwoanieprzypisudolnego"/>
          <w:rFonts w:ascii="Garamond" w:hAnsi="Garamond"/>
        </w:rPr>
        <w:footnoteReference w:id="9"/>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Odsetek dzieci w wieku 3-6 lat objętych wychowaniem przedszkolnym wynosił na terenie ORSG 64,5%. Najwyższy udział dzieci w wieku 3-6 lat odnotowano w gminach z ośrodkami miejskimi, wynosił on dla Miasta Górzno (150% -</w:t>
      </w:r>
      <w:r w:rsidRPr="001534A8">
        <w:rPr>
          <w:rFonts w:ascii="Garamond" w:hAnsi="Garamond"/>
          <w:color w:val="FF0000"/>
        </w:rPr>
        <w:t xml:space="preserve"> </w:t>
      </w:r>
      <w:r w:rsidRPr="001534A8">
        <w:rPr>
          <w:rFonts w:ascii="Garamond" w:hAnsi="Garamond"/>
        </w:rPr>
        <w:t xml:space="preserve">liczba dzieci objęta edukacją przedszkolną w stosunku do liczby dzieci w mieście), Miasta Jabłonowo Pomorskie (108% - liczba dzieci objęta edukacją przedszkolną w stosunku do liczby dzieci w mieście), Miasta Brodnica (89%). Najniższe odsetki notowane były na obszarze wiejskim Gminy Jabłonowo Pomorskie (16,2%), w Gminie Brodnica (31,7%), obszarze wiejskim Gminy Górzno (41,8%). Wskazuje to na zjawisko dowożenia dzieci z terenów wiejskich do przedszkoli w miastach będących centrum Gminy. Jednak biorąc pod uwagę, że od 1 września 2015 obowiązkiem szkolnym zostaną objęte wszystkie dzieci w wieku 6 lat, należy przeanalizować odsetek dzieci w wieku 3-5 lat, objętych wychowanie przedszkolnym, wynosił ona w 2013 r. dla ORSG 58,9% i był niższy od wskaźnika dla grupy wiekowej 3-6 lat (64,5%). </w:t>
      </w:r>
    </w:p>
    <w:p w:rsidR="00567C3E" w:rsidRPr="001534A8" w:rsidRDefault="00567C3E" w:rsidP="00567C3E">
      <w:pPr>
        <w:pStyle w:val="T"/>
      </w:pPr>
      <w:bookmarkStart w:id="51" w:name="_Toc430872002"/>
      <w:r w:rsidRPr="001534A8">
        <w:t xml:space="preserve">Tabela </w:t>
      </w:r>
      <w:r>
        <w:t>20</w:t>
      </w:r>
      <w:r w:rsidRPr="001534A8">
        <w:t>. Edukacja przedszkolna na ORSG Powiatu Brodnickiego w 2013 r.</w:t>
      </w:r>
      <w:bookmarkEnd w:id="51"/>
      <w:r w:rsidRPr="001534A8">
        <w:t xml:space="preserve"> </w:t>
      </w:r>
    </w:p>
    <w:tbl>
      <w:tblPr>
        <w:tblW w:w="9331" w:type="dxa"/>
        <w:tblInd w:w="5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1144"/>
        <w:gridCol w:w="747"/>
        <w:gridCol w:w="874"/>
        <w:gridCol w:w="794"/>
        <w:gridCol w:w="992"/>
        <w:gridCol w:w="709"/>
        <w:gridCol w:w="869"/>
        <w:gridCol w:w="992"/>
        <w:gridCol w:w="851"/>
        <w:gridCol w:w="708"/>
        <w:gridCol w:w="651"/>
      </w:tblGrid>
      <w:tr w:rsidR="00567C3E" w:rsidRPr="001534A8" w:rsidTr="00D32FA7">
        <w:trPr>
          <w:trHeight w:hRule="exact" w:val="1072"/>
        </w:trPr>
        <w:tc>
          <w:tcPr>
            <w:tcW w:w="1144" w:type="dxa"/>
            <w:vMerge w:val="restart"/>
            <w:tcBorders>
              <w:top w:val="single" w:sz="4" w:space="0" w:color="FFFFFF"/>
              <w:left w:val="single" w:sz="4" w:space="0" w:color="824BB0"/>
              <w:bottom w:val="single" w:sz="4" w:space="0" w:color="824BB0"/>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Jednostka terytorialna</w:t>
            </w:r>
          </w:p>
        </w:tc>
        <w:tc>
          <w:tcPr>
            <w:tcW w:w="2415"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
                <w:bCs/>
                <w:color w:val="FFFFFF"/>
                <w:sz w:val="20"/>
                <w:szCs w:val="20"/>
              </w:rPr>
            </w:pPr>
            <w:r w:rsidRPr="001534A8">
              <w:rPr>
                <w:rFonts w:ascii="Garamond" w:hAnsi="Garamond" w:cs="Arial"/>
                <w:bCs/>
                <w:color w:val="FFFFFF"/>
                <w:sz w:val="20"/>
                <w:szCs w:val="20"/>
              </w:rPr>
              <w:t>Liczba placówek wychowania</w:t>
            </w:r>
            <w:r w:rsidRPr="001534A8">
              <w:rPr>
                <w:rFonts w:ascii="Garamond" w:hAnsi="Garamond" w:cs="Arial"/>
                <w:b/>
                <w:bCs/>
                <w:color w:val="FFFFFF"/>
                <w:sz w:val="20"/>
                <w:szCs w:val="20"/>
              </w:rPr>
              <w:t xml:space="preserve"> </w:t>
            </w:r>
            <w:r w:rsidRPr="001534A8">
              <w:rPr>
                <w:rFonts w:ascii="Garamond" w:hAnsi="Garamond" w:cs="Arial"/>
                <w:bCs/>
                <w:color w:val="FFFFFF"/>
                <w:sz w:val="20"/>
                <w:szCs w:val="20"/>
              </w:rPr>
              <w:t>przedszkolnego*</w:t>
            </w:r>
          </w:p>
        </w:tc>
        <w:tc>
          <w:tcPr>
            <w:tcW w:w="99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miejsc w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xml:space="preserve">. i punktach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Liczba dzieci w wieku </w:t>
            </w:r>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3-6 lat</w:t>
            </w:r>
          </w:p>
        </w:tc>
        <w:tc>
          <w:tcPr>
            <w:tcW w:w="2712" w:type="dxa"/>
            <w:gridSpan w:val="3"/>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Liczba dzieci w wieku 3-6 lat objętych wychowaniem przedszkolnym</w:t>
            </w:r>
          </w:p>
        </w:tc>
        <w:tc>
          <w:tcPr>
            <w:tcW w:w="1359" w:type="dxa"/>
            <w:gridSpan w:val="2"/>
            <w:tcBorders>
              <w:top w:val="single" w:sz="4" w:space="0" w:color="FFFFFF"/>
              <w:left w:val="single" w:sz="4" w:space="0" w:color="FFFFFF"/>
              <w:bottom w:val="single" w:sz="4" w:space="0" w:color="FFFFFF" w:themeColor="background1"/>
              <w:right w:val="single" w:sz="4" w:space="0" w:color="824BB0"/>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Odsetek dzieci objętych wychowaniem przedszkolnym</w:t>
            </w:r>
          </w:p>
        </w:tc>
      </w:tr>
      <w:tr w:rsidR="00567C3E" w:rsidRPr="001534A8" w:rsidTr="00D32FA7">
        <w:trPr>
          <w:trHeight w:hRule="exact" w:val="836"/>
        </w:trPr>
        <w:tc>
          <w:tcPr>
            <w:tcW w:w="1144" w:type="dxa"/>
            <w:vMerge/>
            <w:tcBorders>
              <w:top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47"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87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794"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Punkty przedszkolne</w:t>
            </w:r>
          </w:p>
        </w:tc>
        <w:tc>
          <w:tcPr>
            <w:tcW w:w="992"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709" w:type="dxa"/>
            <w:vMerge/>
            <w:tcBorders>
              <w:top w:val="single" w:sz="4" w:space="0" w:color="FFFFFF"/>
              <w:left w:val="single" w:sz="4" w:space="0" w:color="FFFFFF"/>
              <w:bottom w:val="single" w:sz="4" w:space="0" w:color="FFFFFF"/>
              <w:right w:val="single" w:sz="4" w:space="0" w:color="FFFFFF"/>
            </w:tcBorders>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869"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kola</w:t>
            </w:r>
          </w:p>
        </w:tc>
        <w:tc>
          <w:tcPr>
            <w:tcW w:w="992" w:type="dxa"/>
            <w:tcBorders>
              <w:top w:val="single" w:sz="4" w:space="0" w:color="FFFFFF"/>
              <w:left w:val="single" w:sz="4" w:space="0" w:color="FFFFFF"/>
              <w:bottom w:val="single" w:sz="4" w:space="0" w:color="FFFFFF"/>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Oddziały </w:t>
            </w:r>
            <w:proofErr w:type="spellStart"/>
            <w:r w:rsidRPr="001534A8">
              <w:rPr>
                <w:rFonts w:ascii="Garamond" w:hAnsi="Garamond" w:cs="Arial"/>
                <w:bCs/>
                <w:color w:val="FFFFFF"/>
                <w:sz w:val="20"/>
                <w:szCs w:val="20"/>
              </w:rPr>
              <w:t>przedszk</w:t>
            </w:r>
            <w:proofErr w:type="spellEnd"/>
            <w:r w:rsidRPr="001534A8">
              <w:rPr>
                <w:rFonts w:ascii="Garamond" w:hAnsi="Garamond" w:cs="Arial"/>
                <w:bCs/>
                <w:color w:val="FFFFFF"/>
                <w:sz w:val="20"/>
                <w:szCs w:val="20"/>
              </w:rPr>
              <w:t>. w SP.</w:t>
            </w:r>
          </w:p>
        </w:tc>
        <w:tc>
          <w:tcPr>
            <w:tcW w:w="851" w:type="dxa"/>
            <w:tcBorders>
              <w:top w:val="single" w:sz="4" w:space="0" w:color="FFFFFF"/>
              <w:left w:val="single" w:sz="4" w:space="0" w:color="FFFFFF"/>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sz w:val="20"/>
                <w:szCs w:val="20"/>
              </w:rPr>
            </w:pPr>
            <w:r w:rsidRPr="001534A8">
              <w:rPr>
                <w:rFonts w:ascii="Garamond" w:hAnsi="Garamond" w:cs="Arial"/>
                <w:bCs/>
                <w:color w:val="FFFFFF"/>
                <w:sz w:val="20"/>
                <w:szCs w:val="20"/>
              </w:rPr>
              <w:t xml:space="preserve">Punkty </w:t>
            </w:r>
            <w:proofErr w:type="spellStart"/>
            <w:r w:rsidRPr="001534A8">
              <w:rPr>
                <w:rFonts w:ascii="Garamond" w:hAnsi="Garamond" w:cs="Arial"/>
                <w:bCs/>
                <w:color w:val="FFFFFF"/>
                <w:sz w:val="20"/>
                <w:szCs w:val="20"/>
              </w:rPr>
              <w:t>przedsz</w:t>
            </w:r>
            <w:proofErr w:type="spellEnd"/>
          </w:p>
          <w:p w:rsidR="00567C3E" w:rsidRPr="001534A8" w:rsidRDefault="00567C3E" w:rsidP="00D32FA7">
            <w:pPr>
              <w:spacing w:before="40" w:after="40" w:line="240" w:lineRule="auto"/>
              <w:jc w:val="center"/>
              <w:rPr>
                <w:rFonts w:ascii="Garamond" w:hAnsi="Garamond" w:cs="Arial"/>
                <w:bCs/>
                <w:color w:val="FFFFFF"/>
                <w:sz w:val="20"/>
                <w:szCs w:val="20"/>
              </w:rPr>
            </w:pPr>
            <w:proofErr w:type="spellStart"/>
            <w:r w:rsidRPr="001534A8">
              <w:rPr>
                <w:rFonts w:ascii="Garamond" w:hAnsi="Garamond" w:cs="Arial"/>
                <w:bCs/>
                <w:color w:val="FFFFFF"/>
                <w:sz w:val="20"/>
                <w:szCs w:val="20"/>
              </w:rPr>
              <w:t>kolne</w:t>
            </w:r>
            <w:proofErr w:type="spellEnd"/>
          </w:p>
        </w:tc>
        <w:tc>
          <w:tcPr>
            <w:tcW w:w="708" w:type="dxa"/>
            <w:tcBorders>
              <w:top w:val="single" w:sz="4" w:space="0" w:color="FFFFFF" w:themeColor="background1"/>
              <w:left w:val="single" w:sz="4" w:space="0" w:color="FFFFFF"/>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3-6 lat</w:t>
            </w:r>
          </w:p>
        </w:tc>
        <w:tc>
          <w:tcPr>
            <w:tcW w:w="651"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s="Arial"/>
                <w:bCs/>
                <w:color w:val="FFFFFF" w:themeColor="background1"/>
                <w:sz w:val="20"/>
                <w:szCs w:val="20"/>
              </w:rPr>
            </w:pPr>
            <w:r w:rsidRPr="001534A8">
              <w:rPr>
                <w:rFonts w:ascii="Garamond" w:hAnsi="Garamond" w:cs="Arial"/>
                <w:bCs/>
                <w:color w:val="FFFFFF" w:themeColor="background1"/>
                <w:sz w:val="20"/>
                <w:szCs w:val="20"/>
              </w:rPr>
              <w:t>3-5 lat</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47"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tcBorders>
              <w:top w:val="nil"/>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w:t>
            </w:r>
          </w:p>
        </w:tc>
        <w:tc>
          <w:tcPr>
            <w:tcW w:w="70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261</w:t>
            </w:r>
          </w:p>
        </w:tc>
        <w:tc>
          <w:tcPr>
            <w:tcW w:w="869"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w:t>
            </w:r>
          </w:p>
        </w:tc>
        <w:tc>
          <w:tcPr>
            <w:tcW w:w="992"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115</w:t>
            </w:r>
          </w:p>
        </w:tc>
        <w:tc>
          <w:tcPr>
            <w:tcW w:w="851" w:type="dxa"/>
            <w:tcBorders>
              <w:top w:val="single" w:sz="4" w:space="0" w:color="FFFFFF"/>
            </w:tcBorders>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55,6</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52,6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305</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105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47,5</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42,8</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1 385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1 461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1 240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86,4</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lastRenderedPageBreak/>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438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11</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31,7</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27,0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198</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85</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26,0</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84</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186</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78</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72</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65,1</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384</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36</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54,9</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45,3</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18</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197</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88</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17</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53,3</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49,6</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239</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134</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56,1</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45,2</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242</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122</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0</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50,4</w:t>
            </w:r>
          </w:p>
        </w:tc>
        <w:tc>
          <w:tcPr>
            <w:tcW w:w="651" w:type="dxa"/>
          </w:tcPr>
          <w:p w:rsidR="00567C3E" w:rsidRPr="001534A8" w:rsidRDefault="00567C3E" w:rsidP="00D32FA7">
            <w:pPr>
              <w:spacing w:before="40" w:after="40" w:line="240" w:lineRule="auto"/>
              <w:jc w:val="right"/>
              <w:rPr>
                <w:rFonts w:ascii="Garamond" w:hAnsi="Garamond" w:cs="Arial"/>
                <w:sz w:val="20"/>
                <w:szCs w:val="20"/>
              </w:rPr>
            </w:pPr>
            <w:r w:rsidRPr="001534A8">
              <w:rPr>
                <w:rFonts w:ascii="Garamond" w:hAnsi="Garamond" w:cs="Arial"/>
                <w:sz w:val="20"/>
                <w:szCs w:val="20"/>
              </w:rPr>
              <w:t>42,5</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747"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w:t>
            </w:r>
          </w:p>
        </w:tc>
        <w:tc>
          <w:tcPr>
            <w:tcW w:w="87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25</w:t>
            </w:r>
          </w:p>
        </w:tc>
        <w:tc>
          <w:tcPr>
            <w:tcW w:w="794"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1 895</w:t>
            </w:r>
          </w:p>
        </w:tc>
        <w:tc>
          <w:tcPr>
            <w:tcW w:w="70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3 911</w:t>
            </w:r>
          </w:p>
        </w:tc>
        <w:tc>
          <w:tcPr>
            <w:tcW w:w="869"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1 645</w:t>
            </w:r>
          </w:p>
        </w:tc>
        <w:tc>
          <w:tcPr>
            <w:tcW w:w="992"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747</w:t>
            </w:r>
          </w:p>
        </w:tc>
        <w:tc>
          <w:tcPr>
            <w:tcW w:w="851"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129</w:t>
            </w: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64,5</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58,9</w:t>
            </w:r>
          </w:p>
        </w:tc>
      </w:tr>
      <w:tr w:rsidR="00567C3E" w:rsidRPr="001534A8" w:rsidTr="00D32FA7">
        <w:trPr>
          <w:trHeight w:val="283"/>
        </w:trPr>
        <w:tc>
          <w:tcPr>
            <w:tcW w:w="1144" w:type="dxa"/>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Kujawsko-pomorskie</w:t>
            </w:r>
          </w:p>
        </w:tc>
        <w:tc>
          <w:tcPr>
            <w:tcW w:w="6828" w:type="dxa"/>
            <w:gridSpan w:val="8"/>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69,2</w:t>
            </w:r>
          </w:p>
        </w:tc>
        <w:tc>
          <w:tcPr>
            <w:tcW w:w="651" w:type="dxa"/>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67,4</w:t>
            </w:r>
          </w:p>
        </w:tc>
      </w:tr>
      <w:tr w:rsidR="00567C3E" w:rsidRPr="001534A8" w:rsidTr="00D32FA7">
        <w:trPr>
          <w:trHeight w:val="283"/>
        </w:trPr>
        <w:tc>
          <w:tcPr>
            <w:tcW w:w="1144"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Polska</w:t>
            </w:r>
          </w:p>
        </w:tc>
        <w:tc>
          <w:tcPr>
            <w:tcW w:w="6828" w:type="dxa"/>
            <w:gridSpan w:val="8"/>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p>
        </w:tc>
        <w:tc>
          <w:tcPr>
            <w:tcW w:w="708" w:type="dxa"/>
            <w:tcBorders>
              <w:bottom w:val="single" w:sz="4" w:space="0" w:color="824BB0"/>
            </w:tcBorders>
            <w:shd w:val="clear" w:color="auto" w:fill="auto"/>
            <w:vAlign w:val="center"/>
            <w:hideMark/>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75,3</w:t>
            </w:r>
          </w:p>
        </w:tc>
        <w:tc>
          <w:tcPr>
            <w:tcW w:w="651" w:type="dxa"/>
            <w:tcBorders>
              <w:bottom w:val="single" w:sz="4" w:space="0" w:color="824BB0"/>
            </w:tcBorders>
          </w:tcPr>
          <w:p w:rsidR="00567C3E" w:rsidRPr="001534A8" w:rsidRDefault="00567C3E" w:rsidP="00D32FA7">
            <w:pPr>
              <w:spacing w:before="40" w:after="40" w:line="240" w:lineRule="auto"/>
              <w:jc w:val="right"/>
              <w:rPr>
                <w:rFonts w:ascii="Garamond" w:hAnsi="Garamond" w:cs="Arial"/>
                <w:b/>
                <w:bCs/>
                <w:sz w:val="20"/>
                <w:szCs w:val="20"/>
              </w:rPr>
            </w:pPr>
            <w:r w:rsidRPr="001534A8">
              <w:rPr>
                <w:rFonts w:ascii="Garamond" w:hAnsi="Garamond" w:cs="Arial"/>
                <w:b/>
                <w:bCs/>
                <w:sz w:val="20"/>
                <w:szCs w:val="20"/>
              </w:rPr>
              <w:t>74,1</w:t>
            </w:r>
          </w:p>
        </w:tc>
      </w:tr>
    </w:tbl>
    <w:p w:rsidR="00567C3E" w:rsidRPr="001534A8" w:rsidRDefault="00567C3E" w:rsidP="00567C3E">
      <w:pPr>
        <w:spacing w:before="120" w:after="0"/>
        <w:jc w:val="both"/>
        <w:rPr>
          <w:rFonts w:ascii="Garamond" w:hAnsi="Garamond" w:cs="Arial"/>
          <w:sz w:val="20"/>
        </w:rPr>
      </w:pPr>
      <w:r w:rsidRPr="001534A8">
        <w:rPr>
          <w:rFonts w:ascii="Garamond" w:hAnsi="Garamond" w:cs="Arial"/>
          <w:sz w:val="20"/>
        </w:rPr>
        <w:t xml:space="preserve">*Dane w tabeli dotyczą publicznych i niepublicznych placówek wychowania przedszkolnego </w:t>
      </w:r>
    </w:p>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jc w:val="both"/>
        <w:rPr>
          <w:rFonts w:ascii="Garamond" w:hAnsi="Garamond"/>
          <w:b/>
          <w:color w:val="B1059D"/>
          <w:sz w:val="24"/>
        </w:rPr>
      </w:pPr>
      <w:r w:rsidRPr="001534A8">
        <w:rPr>
          <w:rFonts w:ascii="Garamond" w:hAnsi="Garamond"/>
          <w:b/>
          <w:color w:val="B1059D"/>
          <w:sz w:val="24"/>
        </w:rPr>
        <w:t xml:space="preserve">Zakres potrzeb w obszarze rozwoju opieki przedszkolnej </w:t>
      </w:r>
    </w:p>
    <w:p w:rsidR="00567C3E" w:rsidRDefault="00567C3E" w:rsidP="00567C3E">
      <w:pPr>
        <w:spacing w:after="120"/>
        <w:ind w:firstLine="709"/>
        <w:jc w:val="both"/>
        <w:rPr>
          <w:rFonts w:ascii="Garamond" w:hAnsi="Garamond"/>
        </w:rPr>
      </w:pPr>
      <w:r w:rsidRPr="001534A8">
        <w:rPr>
          <w:rFonts w:ascii="Garamond" w:hAnsi="Garamond"/>
        </w:rPr>
        <w:t xml:space="preserve">Wiele przedszkoli, oddziałów i punktów przedszkolnych zgłasza zapotrzebowanie w zakresie generowania nowych miejsc przedszkolnych w celu zapewnienia edukacji dla większej liczby dzieci oraz poprawy jakości świadczonych usług edukacyjnych. Wyrażają się one przede wszystkim w </w:t>
      </w:r>
      <w:r>
        <w:rPr>
          <w:rFonts w:ascii="Garamond" w:hAnsi="Garamond"/>
        </w:rPr>
        <w:t xml:space="preserve">następujących </w:t>
      </w:r>
      <w:r w:rsidRPr="001534A8">
        <w:rPr>
          <w:rFonts w:ascii="Garamond" w:hAnsi="Garamond"/>
        </w:rPr>
        <w:t>potrzebach</w:t>
      </w:r>
      <w:r>
        <w:rPr>
          <w:rFonts w:ascii="Garamond" w:hAnsi="Garamond"/>
        </w:rPr>
        <w:t>:</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modernizacji infrastruktury (m.in. przebudowa, dobudowa, adaptacja, instalacje i media, likwidacja barier architektonicznych dla osób niepełnosprawnych</w:t>
      </w:r>
      <w:r>
        <w:rPr>
          <w:rFonts w:ascii="Garamond" w:hAnsi="Garamond"/>
        </w:rPr>
        <w:t xml:space="preserve">), </w:t>
      </w:r>
    </w:p>
    <w:p w:rsidR="00567C3E" w:rsidRPr="00CC0604" w:rsidRDefault="00567C3E" w:rsidP="00E36E87">
      <w:pPr>
        <w:pStyle w:val="Akapitzlist"/>
        <w:numPr>
          <w:ilvl w:val="0"/>
          <w:numId w:val="137"/>
        </w:numPr>
        <w:spacing w:after="120"/>
        <w:jc w:val="both"/>
        <w:rPr>
          <w:rFonts w:ascii="Garamond" w:hAnsi="Garamond"/>
        </w:rPr>
      </w:pPr>
      <w:r w:rsidRPr="0061254C">
        <w:rPr>
          <w:rFonts w:ascii="Garamond" w:hAnsi="Garamond"/>
        </w:rPr>
        <w:t>zakup</w:t>
      </w:r>
      <w:r>
        <w:rPr>
          <w:rFonts w:ascii="Garamond" w:hAnsi="Garamond"/>
        </w:rPr>
        <w:t>ie</w:t>
      </w:r>
      <w:r w:rsidRPr="0061254C">
        <w:rPr>
          <w:rFonts w:ascii="Garamond" w:hAnsi="Garamond"/>
        </w:rPr>
        <w:t xml:space="preserve"> </w:t>
      </w:r>
      <w:r w:rsidRPr="00CC0604">
        <w:rPr>
          <w:rFonts w:ascii="Garamond" w:hAnsi="Garamond"/>
        </w:rPr>
        <w:t xml:space="preserve">wyposażenia (mebli przedszkolnych (m. in. szafek, półek, krzeseł, stolików, biurek, dywanów, tablic korkowych) i pomocy dydaktycznych (m. in. zabawek, tablic interaktywnych, komputerów, telewizorów, radioodtwarzaczy)),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zapewnieniu dodatkowej liczby nauczycieli przedszkolnych czy dodatkowych zajęć</w:t>
      </w:r>
      <w:r>
        <w:rPr>
          <w:rFonts w:ascii="Garamond" w:hAnsi="Garamond"/>
        </w:rPr>
        <w:t>,</w:t>
      </w:r>
      <w:r w:rsidRPr="0061254C">
        <w:rPr>
          <w:rFonts w:ascii="Garamond" w:hAnsi="Garamond"/>
        </w:rPr>
        <w:t xml:space="preserve"> </w:t>
      </w:r>
    </w:p>
    <w:p w:rsidR="00567C3E" w:rsidRDefault="00567C3E" w:rsidP="00E36E87">
      <w:pPr>
        <w:pStyle w:val="Akapitzlist"/>
        <w:numPr>
          <w:ilvl w:val="0"/>
          <w:numId w:val="137"/>
        </w:numPr>
        <w:spacing w:after="120"/>
        <w:jc w:val="both"/>
        <w:rPr>
          <w:rFonts w:ascii="Garamond" w:hAnsi="Garamond"/>
        </w:rPr>
      </w:pPr>
      <w:r w:rsidRPr="0061254C">
        <w:rPr>
          <w:rFonts w:ascii="Garamond" w:hAnsi="Garamond"/>
        </w:rPr>
        <w:t xml:space="preserve">podnoszeniu kwalifikacji i kompetencji nauczycieli przedszkolnych (kursy i szkolenia m.in. w zakresie: rozwijania kreatywności u dzieci, pracy z dziećmi niepełnosprawnymi, wczesnego wspomagania rozwoju dziecka, przygotowani psychologicznego, pedagogicznego i logopedycznego, metodyki nauczania języka angielskiego w okresie przedszkolnym). </w:t>
      </w:r>
    </w:p>
    <w:p w:rsidR="00567C3E" w:rsidRPr="0061254C" w:rsidRDefault="00567C3E" w:rsidP="00567C3E">
      <w:pPr>
        <w:spacing w:after="120"/>
        <w:ind w:firstLine="708"/>
        <w:jc w:val="both"/>
        <w:rPr>
          <w:rFonts w:ascii="Garamond" w:hAnsi="Garamond"/>
        </w:rPr>
      </w:pPr>
      <w:r w:rsidRPr="0061254C">
        <w:rPr>
          <w:rFonts w:ascii="Garamond" w:hAnsi="Garamond"/>
        </w:rPr>
        <w:t>Istotnym postulatem jest tu również potrzeba wydłużenia pracy oddziałów przedszkolnych. Dodatkowo od 1 września 2015 r. prawo do korzystania z edukacji przedszkolnej będą miały wszystkie dzieci 4-letnie, zaś gmina będzie miała obowiązek przyjąć je do oddziałów przedszkolnych. Natomiast od 1 września 2017 r. prawo do korzystania z edukacji przedszkolnej będą miały wszystkie dzieci 3-letnie, które gmina także zobowiązana będzie przyjąć do oddziałów przedszkolnych. Obowiązki te dodatkowo zwiększają presję na tworzenie nowych miejsc przedszkolnych.</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 xml:space="preserve">Szkolnictwo podstawowe i gimnazjalne </w:t>
      </w:r>
    </w:p>
    <w:p w:rsidR="00567C3E" w:rsidRPr="001534A8" w:rsidRDefault="00567C3E" w:rsidP="00567C3E">
      <w:pPr>
        <w:spacing w:before="40" w:after="40"/>
        <w:ind w:firstLine="708"/>
        <w:jc w:val="both"/>
        <w:rPr>
          <w:rFonts w:ascii="Garamond" w:hAnsi="Garamond"/>
        </w:rPr>
      </w:pPr>
      <w:r w:rsidRPr="001534A8">
        <w:rPr>
          <w:rFonts w:ascii="Garamond" w:hAnsi="Garamond"/>
        </w:rPr>
        <w:t xml:space="preserve">Na terenie ORSG w 2013 roku znajdowały się w sumie 34 szkoły podstawowe i 16 gimnazjów. Do szkół tych uczęszczało łącznie 7822 uczniów. W latach 2005-2013 można zaobserwować znaczny spadek liczby uczniów na obu poziomach kształcenia. Liczba uczniów szkół podstawowych zmalała o blisko 20%, gimnazjów – aż o 30%. Spadek ten był uwarunkowany w dużym stopniu ogólnokrajowym zjawiskiem związanym z niżem demograficznym. Spadek liczby uczniów jednocześnie wpłynął na </w:t>
      </w:r>
      <w:r w:rsidRPr="001534A8">
        <w:rPr>
          <w:rFonts w:ascii="Garamond" w:hAnsi="Garamond"/>
        </w:rPr>
        <w:lastRenderedPageBreak/>
        <w:t xml:space="preserve">zmniejszenie się liczby szkół podstawowych – na przełomie 9 analizowanych lat ubyło ich 7 – przeważnie po jednej w gminach z największą liczbą tych szkół. </w:t>
      </w:r>
    </w:p>
    <w:p w:rsidR="00567C3E" w:rsidRPr="001534A8" w:rsidRDefault="00567C3E" w:rsidP="00567C3E">
      <w:pPr>
        <w:pStyle w:val="T"/>
      </w:pPr>
      <w:bookmarkStart w:id="52" w:name="_Toc430872003"/>
      <w:r w:rsidRPr="001534A8">
        <w:t xml:space="preserve">Tabela </w:t>
      </w:r>
      <w:r>
        <w:t>21</w:t>
      </w:r>
      <w:r w:rsidRPr="001534A8">
        <w:t>. Szkolnictwo podstawowe i gimnazjalne na ORSG Powiatu Brodnickiego</w:t>
      </w:r>
      <w:bookmarkEnd w:id="52"/>
    </w:p>
    <w:tbl>
      <w:tblPr>
        <w:tblW w:w="52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375"/>
        <w:gridCol w:w="730"/>
        <w:gridCol w:w="688"/>
        <w:gridCol w:w="710"/>
        <w:gridCol w:w="710"/>
        <w:gridCol w:w="710"/>
        <w:gridCol w:w="710"/>
        <w:gridCol w:w="708"/>
        <w:gridCol w:w="710"/>
        <w:gridCol w:w="710"/>
        <w:gridCol w:w="710"/>
        <w:gridCol w:w="708"/>
        <w:gridCol w:w="653"/>
      </w:tblGrid>
      <w:tr w:rsidR="00567C3E" w:rsidRPr="001534A8" w:rsidTr="00D32FA7">
        <w:trPr>
          <w:trHeight w:val="300"/>
          <w:jc w:val="center"/>
        </w:trPr>
        <w:tc>
          <w:tcPr>
            <w:tcW w:w="700"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Szkoły podstawowe</w:t>
            </w:r>
          </w:p>
        </w:tc>
        <w:tc>
          <w:tcPr>
            <w:tcW w:w="1083"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szkołach podst.</w:t>
            </w:r>
          </w:p>
        </w:tc>
        <w:tc>
          <w:tcPr>
            <w:tcW w:w="1082"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 Gimnazja</w:t>
            </w:r>
          </w:p>
        </w:tc>
        <w:tc>
          <w:tcPr>
            <w:tcW w:w="1052" w:type="pct"/>
            <w:gridSpan w:val="3"/>
            <w:tcBorders>
              <w:top w:val="single" w:sz="4" w:space="0" w:color="FFFFFF"/>
              <w:left w:val="single" w:sz="4" w:space="0" w:color="FFFFFF"/>
              <w:bottom w:val="single" w:sz="4" w:space="0" w:color="FFFFFF"/>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 uczniów w gimnazjach</w:t>
            </w:r>
          </w:p>
        </w:tc>
      </w:tr>
      <w:tr w:rsidR="00567C3E" w:rsidRPr="001534A8" w:rsidTr="00D32FA7">
        <w:trPr>
          <w:trHeight w:val="300"/>
          <w:jc w:val="center"/>
        </w:trPr>
        <w:tc>
          <w:tcPr>
            <w:tcW w:w="700"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7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5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c>
          <w:tcPr>
            <w:tcW w:w="36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2005</w:t>
            </w:r>
          </w:p>
        </w:tc>
        <w:tc>
          <w:tcPr>
            <w:tcW w:w="36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2010</w:t>
            </w:r>
          </w:p>
        </w:tc>
        <w:tc>
          <w:tcPr>
            <w:tcW w:w="332" w:type="pct"/>
            <w:tcBorders>
              <w:top w:val="single" w:sz="4" w:space="0" w:color="FFFFFF"/>
              <w:left w:val="single" w:sz="4" w:space="0" w:color="FFFFFF"/>
              <w:bottom w:val="nil"/>
              <w:right w:val="nil"/>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2013</w:t>
            </w:r>
          </w:p>
        </w:tc>
      </w:tr>
      <w:tr w:rsidR="00567C3E" w:rsidRPr="001534A8" w:rsidTr="00D32FA7">
        <w:trPr>
          <w:trHeight w:val="227"/>
          <w:jc w:val="center"/>
        </w:trPr>
        <w:tc>
          <w:tcPr>
            <w:tcW w:w="700" w:type="pct"/>
            <w:tcBorders>
              <w:top w:val="nil"/>
            </w:tcBorders>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37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420</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339</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221</w:t>
            </w:r>
          </w:p>
        </w:tc>
        <w:tc>
          <w:tcPr>
            <w:tcW w:w="360"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168</w:t>
            </w:r>
          </w:p>
        </w:tc>
        <w:tc>
          <w:tcPr>
            <w:tcW w:w="332" w:type="pct"/>
            <w:tcBorders>
              <w:top w:val="nil"/>
            </w:tcBorders>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261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201</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2 259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1 988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1 918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1 577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1 181</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1 104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160</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337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306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288</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199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179</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263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270</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233</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186</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159</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586</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501</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387</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369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270</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279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212</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174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144</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5</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525</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407</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359</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327</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224</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213</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376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299</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295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234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180</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hAnsi="Garamond"/>
                <w:sz w:val="20"/>
                <w:szCs w:val="20"/>
              </w:rPr>
              <w:t>146</w:t>
            </w:r>
          </w:p>
        </w:tc>
      </w:tr>
      <w:tr w:rsidR="00567C3E" w:rsidRPr="001534A8" w:rsidTr="00D32FA7">
        <w:trPr>
          <w:trHeight w:val="227"/>
          <w:jc w:val="center"/>
        </w:trPr>
        <w:tc>
          <w:tcPr>
            <w:tcW w:w="700" w:type="pct"/>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37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41</w:t>
            </w:r>
          </w:p>
        </w:tc>
        <w:tc>
          <w:tcPr>
            <w:tcW w:w="35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38</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34</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6 316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5 222</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5 074</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16</w:t>
            </w:r>
          </w:p>
        </w:tc>
        <w:tc>
          <w:tcPr>
            <w:tcW w:w="36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3 965</w:t>
            </w:r>
          </w:p>
        </w:tc>
        <w:tc>
          <w:tcPr>
            <w:tcW w:w="36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3 085</w:t>
            </w:r>
          </w:p>
        </w:tc>
        <w:tc>
          <w:tcPr>
            <w:tcW w:w="33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2 748</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Niż demograficzny nie jest jedynym problemem, z którym boryka się obecnie szkolnictwo w całym kraju, w tym szkolnictwo w województwie kujawsko – pomorskim. Kolejnym problemem istotnym dla rozwoju regionu jest niższa jakość edukacji, przejawiająca się m.in. niższymi, niż przeciętnie w Polsce, wynikami sprawdzianów w szkołach podstawowych i egzaminów gimnazjalnych. Ponadto obszar ORSG zanotował wyniki gorszę niż średnia dla województwa kujawsko-pomorskiego w zasadzie w każdym z przeprowadzanych egzaminów. Analiza tych wyników wskazuje również dysproporcje między wynikami gimnazjalistów ze szkół wiejskich, a wynikami gimnazjalistów ze szkół wielkomiejskich</w:t>
      </w:r>
      <w:r w:rsidRPr="001534A8">
        <w:rPr>
          <w:rStyle w:val="Odwoanieprzypisudolnego"/>
          <w:rFonts w:ascii="Garamond" w:hAnsi="Garamond"/>
        </w:rPr>
        <w:footnoteReference w:id="10"/>
      </w:r>
      <w:r w:rsidRPr="001534A8">
        <w:rPr>
          <w:rFonts w:ascii="Garamond" w:hAnsi="Garamond"/>
        </w:rPr>
        <w:t>.</w:t>
      </w:r>
    </w:p>
    <w:p w:rsidR="00567C3E" w:rsidRPr="001534A8" w:rsidRDefault="00567C3E" w:rsidP="00567C3E">
      <w:pPr>
        <w:spacing w:before="240" w:after="240"/>
        <w:rPr>
          <w:rFonts w:ascii="Garamond" w:hAnsi="Garamond"/>
          <w:b/>
          <w:color w:val="B1059D"/>
          <w:sz w:val="24"/>
          <w:szCs w:val="24"/>
        </w:rPr>
      </w:pPr>
      <w:r w:rsidRPr="001534A8">
        <w:rPr>
          <w:rFonts w:ascii="Garamond" w:hAnsi="Garamond"/>
          <w:b/>
          <w:color w:val="B1059D"/>
          <w:sz w:val="24"/>
          <w:szCs w:val="24"/>
        </w:rPr>
        <w:t>Szkolnictwo ponadgimnazjalne</w:t>
      </w:r>
    </w:p>
    <w:p w:rsidR="00567C3E" w:rsidRPr="001534A8" w:rsidRDefault="00567C3E" w:rsidP="00567C3E">
      <w:pPr>
        <w:spacing w:after="120"/>
        <w:ind w:firstLine="708"/>
        <w:jc w:val="both"/>
        <w:rPr>
          <w:rFonts w:ascii="Garamond" w:hAnsi="Garamond"/>
        </w:rPr>
      </w:pPr>
      <w:r w:rsidRPr="001534A8">
        <w:rPr>
          <w:rFonts w:ascii="Garamond" w:hAnsi="Garamond"/>
        </w:rPr>
        <w:t>Poziom jakości nauczania przejawiający się w wynikach egzaminów końcowych w przypadku szkół ponadgimnazjalnych przedstawia się znacznie lepiej niż w przypadku szkół niższych szczebli. Spośród 16 661 absolwentów w 2013 roku w województwie kujawsko - pomorskim, którzy przystąpili do wszystkich egzaminów obowiązkowych 81,51% otrzymało świadectwa dojrzałości, czyli zdało egzamin maturalny (w kraju odsetek ten wyniósł 80,10%)</w:t>
      </w:r>
      <w:r w:rsidRPr="001534A8">
        <w:rPr>
          <w:rStyle w:val="Odwoanieprzypisudolnego"/>
          <w:rFonts w:ascii="Garamond" w:hAnsi="Garamond"/>
        </w:rPr>
        <w:footnoteReference w:id="11"/>
      </w:r>
      <w:r w:rsidRPr="001534A8">
        <w:rPr>
          <w:rFonts w:ascii="Garamond" w:hAnsi="Garamond"/>
        </w:rPr>
        <w:t xml:space="preserve">. Obszar ORSG w tym zakresie zanotował wyniki lepsze niż średnia dla województwa kujawsko-pomorskiego w zasadzie w każdym z typów szkół (liceum ogólnokształcące, liceum profilowane, technikum, uzupełniające liceum ogólnokształcące), uzyskując średnio 88,38% zdawalności egzaminu maturalnego. </w:t>
      </w:r>
    </w:p>
    <w:p w:rsidR="00567C3E" w:rsidRPr="001534A8" w:rsidRDefault="00567C3E" w:rsidP="00567C3E">
      <w:pPr>
        <w:spacing w:after="120"/>
        <w:jc w:val="both"/>
        <w:rPr>
          <w:rFonts w:ascii="Garamond" w:hAnsi="Garamond"/>
        </w:rPr>
      </w:pPr>
      <w:r w:rsidRPr="001534A8">
        <w:rPr>
          <w:rFonts w:ascii="Garamond" w:hAnsi="Garamond"/>
        </w:rPr>
        <w:t>Na terenie ORSG działają:</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 Liceum Ogólnokształcące im. Filomatów Ziemi Michałowskiej w Brodnicy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III Liceum Ogólnokształcące w Zespole Szkół Nr 1 w Brodnicy (prowadzone przez Miasto Brodnica)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lastRenderedPageBreak/>
        <w:t xml:space="preserve">Liceum Ogólnokształcące Stowarzyszenia Przyjaciół Szkół Katolickich w Górznie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Zawodowych w Brodnicy </w:t>
      </w:r>
    </w:p>
    <w:p w:rsidR="00567C3E" w:rsidRPr="001534A8" w:rsidRDefault="00567C3E" w:rsidP="00567C3E">
      <w:pPr>
        <w:numPr>
          <w:ilvl w:val="0"/>
          <w:numId w:val="20"/>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7"/>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Zespół Szkół Rolniczych w Brodnicy</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Liceum Profilowane</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Technikum</w:t>
      </w:r>
    </w:p>
    <w:p w:rsidR="00567C3E" w:rsidRPr="001534A8" w:rsidRDefault="00567C3E" w:rsidP="00567C3E">
      <w:pPr>
        <w:numPr>
          <w:ilvl w:val="0"/>
          <w:numId w:val="16"/>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Specjalnych w Brodnicy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Podstawowa</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Gimnazjum</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 xml:space="preserve">Zasadnicza Szkoła Zawodowa </w:t>
      </w:r>
    </w:p>
    <w:p w:rsidR="00567C3E" w:rsidRPr="001534A8" w:rsidRDefault="00567C3E" w:rsidP="00567C3E">
      <w:pPr>
        <w:numPr>
          <w:ilvl w:val="0"/>
          <w:numId w:val="18"/>
        </w:numPr>
        <w:spacing w:after="0"/>
        <w:ind w:left="1077"/>
        <w:jc w:val="both"/>
        <w:rPr>
          <w:rFonts w:ascii="Garamond" w:hAnsi="Garamond"/>
        </w:rPr>
      </w:pPr>
      <w:r w:rsidRPr="001534A8">
        <w:rPr>
          <w:rFonts w:ascii="Garamond" w:hAnsi="Garamond"/>
        </w:rPr>
        <w:t>Szkoła Specjalna Przysposabiająca do Pracy</w:t>
      </w:r>
    </w:p>
    <w:p w:rsidR="00567C3E" w:rsidRPr="001534A8" w:rsidRDefault="00567C3E" w:rsidP="00567C3E">
      <w:pPr>
        <w:numPr>
          <w:ilvl w:val="0"/>
          <w:numId w:val="15"/>
        </w:numPr>
        <w:spacing w:after="0"/>
        <w:ind w:left="714" w:hanging="357"/>
        <w:jc w:val="both"/>
        <w:rPr>
          <w:rFonts w:ascii="Garamond" w:hAnsi="Garamond"/>
        </w:rPr>
      </w:pPr>
      <w:r w:rsidRPr="001534A8">
        <w:rPr>
          <w:rFonts w:ascii="Garamond" w:hAnsi="Garamond"/>
        </w:rPr>
        <w:t xml:space="preserve">Zespół Szkół w Jabłonowie Pomorskim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Liceum Ogólnokształcące</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 xml:space="preserve">Technikum </w:t>
      </w:r>
    </w:p>
    <w:p w:rsidR="00567C3E" w:rsidRPr="001534A8" w:rsidRDefault="00567C3E" w:rsidP="00567C3E">
      <w:pPr>
        <w:numPr>
          <w:ilvl w:val="0"/>
          <w:numId w:val="19"/>
        </w:numPr>
        <w:spacing w:after="0"/>
        <w:ind w:left="1077"/>
        <w:jc w:val="both"/>
        <w:rPr>
          <w:rFonts w:ascii="Garamond" w:hAnsi="Garamond"/>
        </w:rPr>
      </w:pPr>
      <w:r w:rsidRPr="001534A8">
        <w:rPr>
          <w:rFonts w:ascii="Garamond" w:hAnsi="Garamond"/>
        </w:rPr>
        <w:t>Zasadnicza Szkoła Zawodowa</w:t>
      </w:r>
    </w:p>
    <w:p w:rsidR="00567C3E" w:rsidRPr="001534A8" w:rsidRDefault="00567C3E" w:rsidP="00567C3E">
      <w:pPr>
        <w:pStyle w:val="T"/>
      </w:pPr>
      <w:bookmarkStart w:id="53" w:name="_Toc430872004"/>
      <w:r w:rsidRPr="001534A8">
        <w:t xml:space="preserve">Tabela </w:t>
      </w:r>
      <w:r>
        <w:t>22</w:t>
      </w:r>
      <w:r w:rsidRPr="001534A8">
        <w:t>. Szkolnictwo ponadgimnazjalne dla młodzieży na ORSG Powiatu Brodnickiego w 2013 r.</w:t>
      </w:r>
      <w:bookmarkEnd w:id="53"/>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74"/>
        <w:gridCol w:w="736"/>
        <w:gridCol w:w="1133"/>
        <w:gridCol w:w="1135"/>
        <w:gridCol w:w="1560"/>
        <w:gridCol w:w="1417"/>
        <w:gridCol w:w="1133"/>
        <w:gridCol w:w="1100"/>
      </w:tblGrid>
      <w:tr w:rsidR="00567C3E" w:rsidRPr="001534A8" w:rsidTr="00D32FA7">
        <w:trPr>
          <w:trHeight w:val="300"/>
        </w:trPr>
        <w:tc>
          <w:tcPr>
            <w:tcW w:w="578" w:type="pct"/>
            <w:vMerge w:val="restart"/>
            <w:tcBorders>
              <w:top w:val="single" w:sz="4" w:space="0" w:color="FFFFFF"/>
              <w:left w:val="single" w:sz="4" w:space="0" w:color="824BB0"/>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396" w:type="pct"/>
            <w:vMerge w:val="restart"/>
            <w:tcBorders>
              <w:top w:val="single" w:sz="4" w:space="0" w:color="FFFFFF"/>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Rok</w:t>
            </w:r>
          </w:p>
        </w:tc>
        <w:tc>
          <w:tcPr>
            <w:tcW w:w="2061"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Liczba placówek</w:t>
            </w:r>
          </w:p>
        </w:tc>
        <w:tc>
          <w:tcPr>
            <w:tcW w:w="1965" w:type="pct"/>
            <w:gridSpan w:val="3"/>
            <w:tcBorders>
              <w:top w:val="single" w:sz="4" w:space="0" w:color="FFFFFF"/>
              <w:left w:val="single" w:sz="4" w:space="0" w:color="FFFFFF"/>
              <w:bottom w:val="single" w:sz="4" w:space="0" w:color="FFFFFF"/>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 xml:space="preserve">Liczba uczniów </w:t>
            </w:r>
          </w:p>
        </w:tc>
      </w:tr>
      <w:tr w:rsidR="00567C3E" w:rsidRPr="001534A8" w:rsidTr="00D32FA7">
        <w:trPr>
          <w:trHeight w:val="300"/>
        </w:trPr>
        <w:tc>
          <w:tcPr>
            <w:tcW w:w="578" w:type="pct"/>
            <w:vMerge/>
            <w:tcBorders>
              <w:top w:val="single" w:sz="4" w:space="0" w:color="FFFFFF"/>
              <w:left w:val="single" w:sz="4" w:space="0" w:color="824BB0"/>
              <w:bottom w:val="nil"/>
              <w:right w:val="single" w:sz="4" w:space="0" w:color="FFFFFF"/>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396" w:type="pct"/>
            <w:vMerge/>
            <w:tcBorders>
              <w:left w:val="single" w:sz="4" w:space="0" w:color="FFFFFF"/>
              <w:bottom w:val="nil"/>
              <w:right w:val="single" w:sz="4" w:space="0" w:color="FFFFFF"/>
            </w:tcBorders>
            <w:shd w:val="clear" w:color="auto" w:fill="824BB0"/>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1"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84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 (wraz ze specjalnymi)</w:t>
            </w:r>
          </w:p>
        </w:tc>
        <w:tc>
          <w:tcPr>
            <w:tcW w:w="763"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Licea ogólnokształcące</w:t>
            </w:r>
          </w:p>
        </w:tc>
        <w:tc>
          <w:tcPr>
            <w:tcW w:w="610"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Technika</w:t>
            </w:r>
          </w:p>
        </w:tc>
        <w:tc>
          <w:tcPr>
            <w:tcW w:w="592" w:type="pct"/>
            <w:tcBorders>
              <w:top w:val="single" w:sz="4" w:space="0" w:color="FFFFFF"/>
              <w:left w:val="single" w:sz="4" w:space="0" w:color="FFFFFF"/>
              <w:bottom w:val="nil"/>
              <w:right w:val="single" w:sz="4" w:space="0" w:color="FFFFFF"/>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Zasadnicze szkoły zawodowe</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8</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967</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693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6</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1 118</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973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2</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3</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950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1 020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932</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Górzno</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46</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sz w:val="20"/>
                <w:szCs w:val="20"/>
              </w:rPr>
            </w:pPr>
            <w:r w:rsidRPr="001534A8">
              <w:rPr>
                <w:rFonts w:ascii="Garamond" w:hAnsi="Garamond" w:cs="Arial"/>
                <w:sz w:val="20"/>
                <w:szCs w:val="20"/>
              </w:rPr>
              <w:t>Jabłonowo Pomorskie</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63</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81</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86</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0</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eastAsia="Times New Roman" w:hAnsi="Garamond" w:cs="Arial"/>
                <w:color w:val="000000"/>
                <w:sz w:val="20"/>
                <w:szCs w:val="20"/>
              </w:rPr>
            </w:pPr>
            <w:r w:rsidRPr="001534A8">
              <w:rPr>
                <w:rFonts w:ascii="Garamond" w:eastAsia="Times New Roman" w:hAnsi="Garamond" w:cs="Arial"/>
                <w:color w:val="000000"/>
                <w:sz w:val="20"/>
                <w:szCs w:val="20"/>
              </w:rPr>
              <w:t>1</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101</w:t>
            </w:r>
          </w:p>
        </w:tc>
      </w:tr>
      <w:tr w:rsidR="00567C3E" w:rsidRPr="001534A8" w:rsidTr="00D32FA7">
        <w:trPr>
          <w:trHeight w:val="227"/>
        </w:trPr>
        <w:tc>
          <w:tcPr>
            <w:tcW w:w="578" w:type="pct"/>
            <w:vMerge w:val="restart"/>
            <w:shd w:val="clear" w:color="auto" w:fill="auto"/>
            <w:vAlign w:val="center"/>
            <w:hideMark/>
          </w:tcPr>
          <w:p w:rsidR="00567C3E" w:rsidRPr="001534A8" w:rsidRDefault="00567C3E" w:rsidP="00D32FA7">
            <w:pPr>
              <w:spacing w:before="40" w:after="40" w:line="240" w:lineRule="auto"/>
              <w:jc w:val="center"/>
              <w:rPr>
                <w:rFonts w:ascii="Garamond" w:hAnsi="Garamond" w:cs="Arial"/>
                <w:b/>
                <w:bCs/>
                <w:sz w:val="20"/>
                <w:szCs w:val="20"/>
              </w:rPr>
            </w:pPr>
            <w:r w:rsidRPr="001534A8">
              <w:rPr>
                <w:rFonts w:ascii="Garamond" w:hAnsi="Garamond" w:cs="Arial"/>
                <w:b/>
                <w:bCs/>
                <w:sz w:val="20"/>
                <w:szCs w:val="20"/>
              </w:rPr>
              <w:t>ORSG</w:t>
            </w: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2013</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1 217</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1 030</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774</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2010</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7</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5</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1 221</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1 059</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996</w:t>
            </w:r>
          </w:p>
        </w:tc>
      </w:tr>
      <w:tr w:rsidR="00567C3E" w:rsidRPr="001534A8" w:rsidTr="00D32FA7">
        <w:trPr>
          <w:trHeight w:val="227"/>
        </w:trPr>
        <w:tc>
          <w:tcPr>
            <w:tcW w:w="578" w:type="pct"/>
            <w:vMerge/>
            <w:shd w:val="clear" w:color="auto" w:fill="auto"/>
            <w:vAlign w:val="center"/>
            <w:hideMark/>
          </w:tcPr>
          <w:p w:rsidR="00567C3E" w:rsidRPr="001534A8" w:rsidRDefault="00567C3E" w:rsidP="00D32FA7">
            <w:pPr>
              <w:spacing w:before="40" w:after="40" w:line="240" w:lineRule="auto"/>
              <w:rPr>
                <w:rFonts w:ascii="Garamond" w:hAnsi="Garamond" w:cs="Arial"/>
                <w:b/>
                <w:bCs/>
                <w:sz w:val="20"/>
                <w:szCs w:val="20"/>
              </w:rPr>
            </w:pPr>
          </w:p>
        </w:tc>
        <w:tc>
          <w:tcPr>
            <w:tcW w:w="396" w:type="pct"/>
            <w:vAlign w:val="center"/>
          </w:tcPr>
          <w:p w:rsidR="00567C3E" w:rsidRPr="001534A8" w:rsidRDefault="00567C3E" w:rsidP="00D32FA7">
            <w:pPr>
              <w:spacing w:before="40" w:after="40" w:line="240" w:lineRule="auto"/>
              <w:jc w:val="center"/>
              <w:rPr>
                <w:rFonts w:ascii="Garamond" w:eastAsia="Times New Roman" w:hAnsi="Garamond" w:cs="Arial"/>
                <w:color w:val="000000"/>
                <w:sz w:val="20"/>
                <w:szCs w:val="20"/>
              </w:rPr>
            </w:pPr>
            <w:r w:rsidRPr="001534A8">
              <w:rPr>
                <w:rFonts w:ascii="Garamond" w:eastAsia="Times New Roman" w:hAnsi="Garamond" w:cs="Arial"/>
                <w:color w:val="000000"/>
                <w:sz w:val="20"/>
                <w:szCs w:val="20"/>
              </w:rPr>
              <w:t>2005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3</w:t>
            </w:r>
          </w:p>
        </w:tc>
        <w:tc>
          <w:tcPr>
            <w:tcW w:w="611"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84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4</w:t>
            </w:r>
          </w:p>
        </w:tc>
        <w:tc>
          <w:tcPr>
            <w:tcW w:w="763"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985</w:t>
            </w:r>
          </w:p>
        </w:tc>
        <w:tc>
          <w:tcPr>
            <w:tcW w:w="610"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1 145</w:t>
            </w:r>
          </w:p>
        </w:tc>
        <w:tc>
          <w:tcPr>
            <w:tcW w:w="592" w:type="pct"/>
            <w:shd w:val="clear" w:color="auto" w:fill="auto"/>
            <w:noWrap/>
            <w:vAlign w:val="center"/>
          </w:tcPr>
          <w:p w:rsidR="00567C3E" w:rsidRPr="001534A8" w:rsidRDefault="00567C3E" w:rsidP="00D32FA7">
            <w:pPr>
              <w:spacing w:before="40" w:after="40" w:line="240" w:lineRule="auto"/>
              <w:jc w:val="right"/>
              <w:rPr>
                <w:rFonts w:ascii="Garamond" w:hAnsi="Garamond"/>
                <w:b/>
                <w:bCs/>
                <w:color w:val="000000"/>
                <w:sz w:val="20"/>
                <w:szCs w:val="20"/>
              </w:rPr>
            </w:pPr>
            <w:r w:rsidRPr="001534A8">
              <w:rPr>
                <w:rFonts w:ascii="Garamond" w:hAnsi="Garamond"/>
                <w:b/>
                <w:bCs/>
                <w:color w:val="000000"/>
                <w:sz w:val="20"/>
                <w:szCs w:val="20"/>
              </w:rPr>
              <w:t>1 033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t xml:space="preserve">Duży wpływ na osiąganie wysokich efektów kształcenia ma między innymi jakość i dostępność infrastruktury edukacyjnej, oferta zajęć pozalekcyjnych i pozaszkolnych, a także poziom kwalifikacji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Obecnie, co wynika również z Zalecenia Parlamentu Europejskiego i Rady w sprawie kompetencji kluczowych w procesie uczenia się przez całe życie, niezwykle ważne jest położenie odpowiedniego nacisku na rozwijanie kompetencji kluczowych uczniów na wszystkich poziomach kształcenia. Kompetencje kluczowe to połączenie wiedzy, umiejętności i postaw odpowiednich do sytuacji. Są one szczególnie niezbędne do samorealizacji i rozwoju osobistego, integracji społecznej, zatrudnienia i bycia </w:t>
      </w:r>
      <w:r w:rsidRPr="001534A8">
        <w:rPr>
          <w:rFonts w:ascii="Garamond" w:hAnsi="Garamond"/>
        </w:rPr>
        <w:lastRenderedPageBreak/>
        <w:t>aktywnym obywatelem. Kompetencje te mają istotne znaczenie w społeczeństwie wiedzy i gwarantują większą elastyczność kadr, umożliwiając im szybsze dostosowanie się do zmian zachodzących na rynku pracy. Stanowią również ważny czynnik innowacji, produktywności i konkurencyjności, a ponadto mają wpływ na motywację i zadowolenie</w:t>
      </w:r>
      <w:r w:rsidRPr="001534A8">
        <w:rPr>
          <w:rStyle w:val="Odwoanieprzypisudolnego"/>
          <w:rFonts w:ascii="Garamond" w:hAnsi="Garamond"/>
        </w:rPr>
        <w:footnoteReference w:id="12"/>
      </w:r>
      <w:r w:rsidRPr="001534A8">
        <w:rPr>
          <w:rFonts w:ascii="Garamond" w:hAnsi="Garamond"/>
        </w:rPr>
        <w:t>. Kompetencje kluczowe to przede wszystkim: porozumiewanie się w języku ojczystym, w językach obcych, kompetencje matematyczne i podstawowe kompetencje naukowo-techniczne, informatyczne, społeczne i obywatelskie, inicjatywność i przedsiębiorczość, świadomość i ekspresja kulturalna, umiejętność uczenia się.</w:t>
      </w:r>
    </w:p>
    <w:p w:rsidR="00567C3E" w:rsidRPr="001534A8" w:rsidRDefault="00567C3E" w:rsidP="00567C3E">
      <w:pPr>
        <w:spacing w:after="120"/>
        <w:ind w:firstLine="708"/>
        <w:jc w:val="both"/>
        <w:rPr>
          <w:rFonts w:ascii="Garamond" w:hAnsi="Garamond"/>
        </w:rPr>
      </w:pPr>
      <w:r w:rsidRPr="001534A8">
        <w:rPr>
          <w:rFonts w:ascii="Garamond" w:hAnsi="Garamond"/>
        </w:rPr>
        <w:t xml:space="preserve">Nie wszystkie szkoły z terenu ORSG realizowały zajęcia dodatkowe dotyczące kompetencji kluczowych. Te z nich, które zapewniały tą formę dodatkowego wsparcia realizowały je głównie poprzez przedmiotowe koła zainteresowań i dodatkowe zajęcia z matematyki, fizyki, biologii, chemii czy języków obcych – głównie języka angielskiego. </w:t>
      </w:r>
    </w:p>
    <w:p w:rsidR="00567C3E" w:rsidRPr="001534A8" w:rsidRDefault="00567C3E" w:rsidP="00567C3E">
      <w:pPr>
        <w:spacing w:after="120"/>
        <w:ind w:firstLine="708"/>
        <w:jc w:val="both"/>
        <w:rPr>
          <w:rFonts w:ascii="Garamond" w:hAnsi="Garamond"/>
        </w:rPr>
      </w:pPr>
      <w:r w:rsidRPr="001534A8">
        <w:rPr>
          <w:rFonts w:ascii="Garamond" w:hAnsi="Garamond"/>
        </w:rPr>
        <w:t xml:space="preserve">Diagnoza zapotrzebowania na dodatkowe zajęcia pozalekcyjne i pozaszkolne z zakresu rozwijania kompetencji kluczowych wskazuje na duże potrzeby w tym zakresie zarówno wśród szkół podstawowych i gimnazjalnych jak i ponadgimnazjalnych. Szkoły, które realizowały takie zajęcie wykazują potrzebę ich utrzymania oraz poszerzenia oferty tych zajęć. Te szkoły, które takich zajęć do tej pory nie prowadziły zgłaszają ich potrzebę. Potrzeby te, na ogół koncentrują się na zapewnieniu dodatkowych zajęć w zakresie technologii informacyjno-komunikacyjnych, nauk matematyczno-przyrodniczych, języków obcych, kształtowania kreatywności, innowacyjności i pracy zespołowej oraz przedsiębiorczości. Wskazuję się również na potrzebę urozmaicania takich zajęć i wykorzystanie nowoczesnych technologii czy odpowiedniego dostosowania klas do prowadzenia takich zajęć, np. poprzez doposażenie szkół w tablice interaktywne czy wyposażenie pracowni informatycznej w komputery i oprogramowanie. Zwraca się tu również uwagę na potrzebę zapewnienia uczniom odpowiedniej opieki pedagogiczno-psychologicznej oraz położenie większego nacisku na indywidualizację procesu nauczania w placówkach szkolnych w pracy z uczniem uzdolnionym oraz z wymagającym dodatkowej pomocy.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diagnozowaniu predyspozycji zawodowych uczniów i wspieraniu ich w planowaniu własnej ścieżki kształcenia i kariery zawodowej niezwykle ważną rolę pełni doradztwo </w:t>
      </w:r>
      <w:proofErr w:type="spellStart"/>
      <w:r w:rsidRPr="001534A8">
        <w:rPr>
          <w:rFonts w:ascii="Garamond" w:hAnsi="Garamond"/>
        </w:rPr>
        <w:t>edukacyjno</w:t>
      </w:r>
      <w:proofErr w:type="spellEnd"/>
      <w:r w:rsidRPr="001534A8">
        <w:rPr>
          <w:rFonts w:ascii="Garamond" w:hAnsi="Garamond"/>
        </w:rPr>
        <w:t xml:space="preserve"> – zawodowe, które powinno być zapewnianie na każdym poziomie kształcenia. Jego zadaniem, szczególnie istotnym w obecnej sytuacji na rynku pracy, jest także zapewnienie młodym ludziom informacji o zawodach deficytowych i nadwyżkowych oraz ewentualnych perspektywach na zatrudnienie, pomagając im w pełni świadomie wybrać dalszy kierunek swojego rozwoju.  </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Doradztwo takie w szkołach z obszaru ORSG było realizowane w ograniczonym stopniu. Część szkół nie zapewniała tego typu profesjonalnego wsparcia dla uczniów, a w placówkach gdzie było ono realizowane niejednokrotnie wynikało to z jednorazowego, ograniczonego czasowo projektu współfinansowanego z Europejskiego Funduszu Społecznego. Dlatego też, szczególnie istotnym, w kontekście kształtowania sytuacji na lokalnym rynku pracy, jest wprowadzenie szerokiego i powszechnego dostępu do doradztwa </w:t>
      </w:r>
      <w:proofErr w:type="spellStart"/>
      <w:r w:rsidRPr="001534A8">
        <w:rPr>
          <w:rFonts w:ascii="Garamond" w:hAnsi="Garamond"/>
        </w:rPr>
        <w:t>edukacyjno</w:t>
      </w:r>
      <w:proofErr w:type="spellEnd"/>
      <w:r w:rsidRPr="001534A8">
        <w:rPr>
          <w:rFonts w:ascii="Garamond" w:hAnsi="Garamond"/>
        </w:rPr>
        <w:t xml:space="preserve"> - zawodowego w szczególności w szkołach gimnazjalnych i ponadgimnazjalnych. Szkoły z terenu ORSG, wyrażają przy tym wyraźne zapotrzebowanie na tego typu zajęcia prowadzone przez osoby odpowiednio do tego przygotowane.   </w:t>
      </w:r>
    </w:p>
    <w:p w:rsidR="00567C3E" w:rsidRPr="001534A8" w:rsidRDefault="00567C3E" w:rsidP="00567C3E">
      <w:pPr>
        <w:spacing w:after="120"/>
        <w:ind w:firstLine="709"/>
        <w:jc w:val="both"/>
        <w:rPr>
          <w:rFonts w:ascii="Garamond" w:hAnsi="Garamond"/>
        </w:rPr>
      </w:pPr>
      <w:r w:rsidRPr="001534A8">
        <w:rPr>
          <w:rFonts w:ascii="Garamond" w:hAnsi="Garamond"/>
        </w:rPr>
        <w:t xml:space="preserve">Podstawowym wymogiem związanym z rozwijaniem jakościowo lepszej edukacji jest odpowiednio przygotowana do tego kadra nauczycielska. Wskazuje się tu zatem na potrzebę ciągłego doskonalenia nauczycieli w zakresie podniesienia kompetencji i kwalifikacji ukierunkowanych na rozwój kompetencji kluczowych uczniów i indywidualnego podejścia do ucznia oraz rozwoju doradztwa </w:t>
      </w:r>
      <w:proofErr w:type="spellStart"/>
      <w:r w:rsidRPr="001534A8">
        <w:rPr>
          <w:rFonts w:ascii="Garamond" w:hAnsi="Garamond"/>
        </w:rPr>
        <w:t>edukacyjno</w:t>
      </w:r>
      <w:proofErr w:type="spellEnd"/>
      <w:r w:rsidRPr="001534A8">
        <w:rPr>
          <w:rFonts w:ascii="Garamond" w:hAnsi="Garamond"/>
        </w:rPr>
        <w:t xml:space="preserve"> – zawodowego poprzez m. in.: studia podyplomowe, kursy kwalifikacyjne czy warsztaty dotyczące m. in.: kształtowania umiejętności pracy zespołowej, kreatywności i twórczości uczniów, </w:t>
      </w:r>
      <w:r w:rsidRPr="001534A8">
        <w:rPr>
          <w:rFonts w:ascii="Garamond" w:hAnsi="Garamond"/>
        </w:rPr>
        <w:lastRenderedPageBreak/>
        <w:t xml:space="preserve">motywacji do nauki,  obsługi i wykorzystania w procesie dydaktycznym urządzeń multimedialnych i technologii informacyjno-komunikacyjnych (np. tablic interaktywnych, itp.), rozwijania kompetencji informatycznych uczniów, metodyki nauczania języków obcych, szkolenia w zakresie doradztwa </w:t>
      </w:r>
      <w:proofErr w:type="spellStart"/>
      <w:r w:rsidRPr="001534A8">
        <w:rPr>
          <w:rFonts w:ascii="Garamond" w:hAnsi="Garamond"/>
        </w:rPr>
        <w:t>edukacyjno</w:t>
      </w:r>
      <w:proofErr w:type="spellEnd"/>
      <w:r w:rsidRPr="001534A8">
        <w:rPr>
          <w:rFonts w:ascii="Garamond" w:hAnsi="Garamond"/>
        </w:rPr>
        <w:t xml:space="preserve"> – zawodowego.</w:t>
      </w:r>
    </w:p>
    <w:p w:rsidR="00567C3E" w:rsidRPr="001534A8" w:rsidRDefault="00567C3E" w:rsidP="00567C3E">
      <w:pPr>
        <w:spacing w:before="240" w:after="240"/>
        <w:jc w:val="both"/>
        <w:rPr>
          <w:rFonts w:ascii="Garamond" w:hAnsi="Garamond"/>
          <w:color w:val="B1059D"/>
        </w:rPr>
      </w:pPr>
      <w:r w:rsidRPr="001534A8">
        <w:rPr>
          <w:rFonts w:ascii="Garamond" w:hAnsi="Garamond"/>
          <w:b/>
          <w:color w:val="B1059D"/>
          <w:sz w:val="24"/>
          <w:szCs w:val="24"/>
        </w:rPr>
        <w:t>Kształcenie zawodowe</w:t>
      </w:r>
    </w:p>
    <w:p w:rsidR="00567C3E" w:rsidRPr="001534A8" w:rsidRDefault="00567C3E" w:rsidP="00567C3E">
      <w:pPr>
        <w:spacing w:after="120"/>
        <w:ind w:firstLine="708"/>
        <w:jc w:val="both"/>
        <w:rPr>
          <w:rFonts w:ascii="Garamond" w:hAnsi="Garamond"/>
        </w:rPr>
      </w:pPr>
      <w:r w:rsidRPr="001534A8">
        <w:rPr>
          <w:rFonts w:ascii="Garamond" w:hAnsi="Garamond"/>
        </w:rPr>
        <w:t>Kształcenie zawodowe cieszy się stosunkowo dużą popularnością, co jednak nie przekłada się na sytuację na rynku pracy. Osoby z wykształceniem zasadniczym zawodowym, obok osób z wykształceniem gimnazjalnym i poniżej, stanowiły 2013 r. tak w województwie kujawsko-pomorskim jak i na obszarze ORSG największą grupę bezrobotnych – 31%</w:t>
      </w:r>
      <w:r w:rsidRPr="001534A8">
        <w:rPr>
          <w:rStyle w:val="Odwoanieprzypisudolnego"/>
          <w:rFonts w:ascii="Garamond" w:hAnsi="Garamond"/>
        </w:rPr>
        <w:footnoteReference w:id="13"/>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Bardzo istotny wpływ na ofertę kształcenia nieadekwatną w stosunku do potrzeb rynku pracy, ma niski poziom współpracy szkół zawodowych i pracodawców, czego przejawem jest m.in. duży rozdźwięk między oczekiwaniami pracodawców względem kwalifikacji jakie ich zdaniem powinien posiadać absolwent szkoły zawodowej, a realizowanymi w tych szkołach programami nauczania</w:t>
      </w:r>
      <w:r w:rsidRPr="001534A8">
        <w:rPr>
          <w:rStyle w:val="Odwoanieprzypisudolnego"/>
          <w:rFonts w:ascii="Garamond" w:hAnsi="Garamond"/>
        </w:rPr>
        <w:footnoteReference w:id="14"/>
      </w:r>
      <w:r w:rsidRPr="001534A8">
        <w:rPr>
          <w:rFonts w:ascii="Garamond" w:hAnsi="Garamond"/>
        </w:rPr>
        <w:t>.</w:t>
      </w:r>
    </w:p>
    <w:p w:rsidR="00567C3E" w:rsidRPr="001534A8" w:rsidRDefault="00567C3E" w:rsidP="00567C3E">
      <w:pPr>
        <w:spacing w:after="120"/>
        <w:jc w:val="both"/>
        <w:rPr>
          <w:rFonts w:ascii="Garamond" w:hAnsi="Garamond"/>
        </w:rPr>
      </w:pPr>
      <w:r w:rsidRPr="001534A8">
        <w:rPr>
          <w:rFonts w:ascii="Garamond" w:hAnsi="Garamond"/>
        </w:rPr>
        <w:t xml:space="preserve">Na terenie ORSG kształcenie zawodowe prowadzą: </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 xml:space="preserve">Zespół Szkół Zawodowych w Brodnicy (Technika: Ekonomiczne, Handlowe, Informatyczne, Budownictwa, Logistyczne, </w:t>
      </w:r>
      <w:proofErr w:type="spellStart"/>
      <w:r w:rsidRPr="001534A8">
        <w:rPr>
          <w:rFonts w:ascii="Garamond" w:hAnsi="Garamond"/>
        </w:rPr>
        <w:t>Mechatroniczne</w:t>
      </w:r>
      <w:proofErr w:type="spellEnd"/>
      <w:r w:rsidRPr="001534A8">
        <w:rPr>
          <w:rFonts w:ascii="Garamond" w:hAnsi="Garamond"/>
        </w:rPr>
        <w:t>, Mechaniczne; Zasadnicza Szkoła Zawodowa - szkoła przeprowadza nabór we wszystkich zawodach zgodnie z obowiązującą klasyfikacją zawodów)</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Rolniczych w Brodnicy (Technika: Rolnicze, Żywienia i Gospodarstwa Domowego, Ochrony Środowiska, Hotelarskie; Zasadnicze Szkoły Zawodowe - zawody:  rolnik,  mechanik operator maszyn i pojazdów rolniczych, piekarz, cukiernik, rzeźnik-wędliniarz, kucharz małej gastronomii)</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Specjalnych w Brodnicy (Zasadnicza Szkoła Zawodowa - zawody: tapicer, krawiec, cukiernik, fryzjer, ślusarz, elektryk, hydraulik, stolarz, murarz, mechanik operator maszyn i pojazdów rolniczych, mechanik samochodowy)</w:t>
      </w:r>
    </w:p>
    <w:p w:rsidR="00567C3E" w:rsidRPr="001534A8" w:rsidRDefault="00567C3E" w:rsidP="00567C3E">
      <w:pPr>
        <w:numPr>
          <w:ilvl w:val="0"/>
          <w:numId w:val="15"/>
        </w:numPr>
        <w:spacing w:after="120"/>
        <w:jc w:val="both"/>
        <w:rPr>
          <w:rFonts w:ascii="Garamond" w:hAnsi="Garamond"/>
        </w:rPr>
      </w:pPr>
      <w:r w:rsidRPr="001534A8">
        <w:rPr>
          <w:rFonts w:ascii="Garamond" w:hAnsi="Garamond"/>
        </w:rPr>
        <w:t>Zespół Szkół w Jabłonowie Pomorskim (Technikum; Zasadnicza Szkoła Zawodowa)</w:t>
      </w:r>
    </w:p>
    <w:p w:rsidR="00567C3E" w:rsidRPr="001534A8" w:rsidRDefault="00567C3E" w:rsidP="00567C3E">
      <w:pPr>
        <w:pStyle w:val="T"/>
      </w:pPr>
      <w:bookmarkStart w:id="54" w:name="_Toc430872005"/>
      <w:r w:rsidRPr="001534A8">
        <w:t xml:space="preserve">Tabela </w:t>
      </w:r>
      <w:r>
        <w:t>23</w:t>
      </w:r>
      <w:r w:rsidRPr="001534A8">
        <w:t>. Liczba uczniów w technikach dla młodzieży w roku szkolnym 2012/2013</w:t>
      </w:r>
      <w:bookmarkEnd w:id="54"/>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 xml:space="preserve">Technik budownictwa </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7,51</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b/>
                <w:sz w:val="20"/>
                <w:szCs w:val="20"/>
              </w:rPr>
            </w:pPr>
            <w:r w:rsidRPr="001534A8">
              <w:rPr>
                <w:rFonts w:ascii="Garamond" w:hAnsi="Garamond"/>
                <w:sz w:val="20"/>
                <w:szCs w:val="20"/>
              </w:rPr>
              <w:t>Technik rolnik</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62</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6,05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informatyk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hotelarstwa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7,71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ekonomista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15,80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ochrony środowiska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handlowiec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4,78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mechanizacji rolnictwa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logistyk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14,05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1,07</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architektury krajobrazy</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4,10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mechatronik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7,22</w:t>
            </w:r>
          </w:p>
        </w:tc>
        <w:tc>
          <w:tcPr>
            <w:tcW w:w="1511" w:type="pct"/>
            <w:vMerge w:val="restar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usług gastronomicznych</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59</w:t>
            </w:r>
          </w:p>
        </w:tc>
        <w:tc>
          <w:tcPr>
            <w:tcW w:w="484" w:type="pct"/>
            <w:vMerge w:val="restar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5,76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Technik żywienia i gospodarstwa domowego</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5,27</w:t>
            </w:r>
          </w:p>
        </w:tc>
        <w:tc>
          <w:tcPr>
            <w:tcW w:w="1511" w:type="pct"/>
            <w:vMerge/>
            <w:vAlign w:val="center"/>
          </w:tcPr>
          <w:p w:rsidR="00567C3E" w:rsidRPr="001534A8" w:rsidRDefault="00567C3E" w:rsidP="00D32FA7">
            <w:pPr>
              <w:spacing w:before="40" w:after="40" w:line="240" w:lineRule="auto"/>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c>
          <w:tcPr>
            <w:tcW w:w="484" w:type="pct"/>
            <w:vMerge/>
            <w:vAlign w:val="center"/>
          </w:tcPr>
          <w:p w:rsidR="00567C3E" w:rsidRPr="001534A8" w:rsidRDefault="00567C3E" w:rsidP="00D32FA7">
            <w:pPr>
              <w:spacing w:before="40" w:after="40" w:line="240" w:lineRule="auto"/>
              <w:jc w:val="center"/>
              <w:rPr>
                <w:rFonts w:ascii="Garamond" w:hAnsi="Garamond"/>
                <w:sz w:val="20"/>
                <w:szCs w:val="20"/>
              </w:rPr>
            </w:pP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1 025</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lastRenderedPageBreak/>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pStyle w:val="T"/>
      </w:pPr>
      <w:bookmarkStart w:id="55" w:name="_Toc430872006"/>
      <w:r w:rsidRPr="001534A8">
        <w:t xml:space="preserve">Tabela </w:t>
      </w:r>
      <w:r>
        <w:t>24</w:t>
      </w:r>
      <w:r w:rsidRPr="001534A8">
        <w:t>. Liczba uczniów w poszczególnych zawodach zasadniczych szkół zawodowych w 2012/2013</w:t>
      </w:r>
      <w:bookmarkEnd w:id="5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885"/>
        <w:gridCol w:w="899"/>
        <w:gridCol w:w="899"/>
        <w:gridCol w:w="2807"/>
        <w:gridCol w:w="899"/>
        <w:gridCol w:w="899"/>
      </w:tblGrid>
      <w:tr w:rsidR="00567C3E" w:rsidRPr="001534A8" w:rsidTr="00D32FA7">
        <w:tc>
          <w:tcPr>
            <w:tcW w:w="1553" w:type="pct"/>
            <w:tcBorders>
              <w:top w:val="single" w:sz="4" w:space="0" w:color="824BB0"/>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c>
          <w:tcPr>
            <w:tcW w:w="1511"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Profil kształcenia, zawód specjalność</w:t>
            </w:r>
          </w:p>
        </w:tc>
        <w:tc>
          <w:tcPr>
            <w:tcW w:w="484" w:type="pct"/>
            <w:tcBorders>
              <w:top w:val="single" w:sz="4" w:space="0" w:color="824BB0"/>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Liczba uczniów</w:t>
            </w:r>
          </w:p>
        </w:tc>
        <w:tc>
          <w:tcPr>
            <w:tcW w:w="484" w:type="pct"/>
            <w:tcBorders>
              <w:top w:val="single" w:sz="4" w:space="0" w:color="824BB0"/>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themeColor="background1"/>
                <w:sz w:val="20"/>
                <w:szCs w:val="20"/>
              </w:rPr>
            </w:pPr>
            <w:r w:rsidRPr="001534A8">
              <w:rPr>
                <w:rFonts w:ascii="Garamond" w:hAnsi="Garamond"/>
                <w:color w:val="FFFFFF" w:themeColor="background1"/>
                <w:sz w:val="20"/>
                <w:szCs w:val="20"/>
              </w:rPr>
              <w:t>%</w:t>
            </w:r>
          </w:p>
        </w:tc>
      </w:tr>
      <w:tr w:rsidR="00567C3E" w:rsidRPr="001534A8" w:rsidTr="00D32FA7">
        <w:tc>
          <w:tcPr>
            <w:tcW w:w="1553"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Blacharz samochodowy</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1511" w:type="pct"/>
            <w:tcBorders>
              <w:top w:val="single" w:sz="4" w:space="0" w:color="FFFFFF" w:themeColor="background1"/>
            </w:tcBorders>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instalacji i urządzeń sanitarnych</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27</w:t>
            </w:r>
          </w:p>
        </w:tc>
        <w:tc>
          <w:tcPr>
            <w:tcW w:w="484" w:type="pct"/>
            <w:tcBorders>
              <w:top w:val="single" w:sz="4" w:space="0" w:color="FFFFFF" w:themeColor="background1"/>
            </w:tcBorders>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Cieśla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elektronik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Cukiernik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3,9</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Drukarz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Operator obrabiarek skrawających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2,0</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Elektromechanik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2,8</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Piekarz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Elektryk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Sprzedawca</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Fryzjer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Stolarz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123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15,6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Kamieniarz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11,0</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Ślusarz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82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Krawiec</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Tapicer</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 małej gastronomii</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0,4</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Rzeźnik – wędliniarz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38</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4,8</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Lakiernik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5,1</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Kucharz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0,1</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Malarz – tapeciarz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1,6</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zabudowy i robót wykończeniowych w budownictwie</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35</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4,4</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automatyki przemysłowej i urządzeń precyzyjnych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Monter sieci, instalacji i urządzeń sanitarnych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pojazdów samochodowych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Murarz – tynkarz</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w:t>
            </w:r>
          </w:p>
        </w:tc>
      </w:tr>
      <w:tr w:rsidR="00567C3E" w:rsidRPr="001534A8" w:rsidTr="00D32FA7">
        <w:tc>
          <w:tcPr>
            <w:tcW w:w="1553"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Mechanik – operator pojazdów i maszyn rolniczych</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106</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13,5</w:t>
            </w:r>
          </w:p>
        </w:tc>
        <w:tc>
          <w:tcPr>
            <w:tcW w:w="1511" w:type="pct"/>
            <w:vAlign w:val="center"/>
          </w:tcPr>
          <w:p w:rsidR="00567C3E" w:rsidRPr="001534A8" w:rsidRDefault="00567C3E" w:rsidP="00D32FA7">
            <w:pPr>
              <w:spacing w:before="40" w:after="40" w:line="240" w:lineRule="auto"/>
              <w:rPr>
                <w:rFonts w:ascii="Garamond" w:hAnsi="Garamond"/>
                <w:sz w:val="20"/>
                <w:szCs w:val="20"/>
              </w:rPr>
            </w:pPr>
            <w:r w:rsidRPr="001534A8">
              <w:rPr>
                <w:rFonts w:ascii="Garamond" w:hAnsi="Garamond"/>
                <w:sz w:val="20"/>
                <w:szCs w:val="20"/>
              </w:rPr>
              <w:t>Rolnik</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7</w:t>
            </w:r>
          </w:p>
        </w:tc>
        <w:tc>
          <w:tcPr>
            <w:tcW w:w="484"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0,9</w:t>
            </w:r>
          </w:p>
        </w:tc>
      </w:tr>
      <w:tr w:rsidR="00567C3E" w:rsidRPr="001534A8" w:rsidTr="00D32FA7">
        <w:tc>
          <w:tcPr>
            <w:tcW w:w="4032" w:type="pct"/>
            <w:gridSpan w:val="4"/>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RAZEM</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788</w:t>
            </w:r>
          </w:p>
        </w:tc>
        <w:tc>
          <w:tcPr>
            <w:tcW w:w="484"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100</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Informacja o stanie i realizacji zadań oświatowych powiatu brodnickiego w roku szkolnym 2012/2013 Starostwa Powiatowego w Brodnicy.</w:t>
      </w:r>
    </w:p>
    <w:p w:rsidR="00567C3E" w:rsidRPr="001534A8" w:rsidRDefault="00567C3E" w:rsidP="00567C3E">
      <w:pPr>
        <w:spacing w:after="120"/>
        <w:ind w:firstLine="709"/>
        <w:jc w:val="both"/>
        <w:rPr>
          <w:rFonts w:ascii="Garamond" w:hAnsi="Garamond"/>
        </w:rPr>
      </w:pPr>
      <w:r w:rsidRPr="001534A8">
        <w:rPr>
          <w:rFonts w:ascii="Garamond" w:hAnsi="Garamond"/>
        </w:rPr>
        <w:t xml:space="preserve">Analizując dane PUP o zawodach deficytowych i nadwyżkowych oraz zwracając uwagę na kierunki rozwoju regionu i potrzeby pracodawców szkoły prowadzące szkolnictwo zawodowe starają się  dostosować kierunki kształcenia po potrzeb rynku pracy. </w:t>
      </w:r>
    </w:p>
    <w:p w:rsidR="00567C3E" w:rsidRPr="001534A8" w:rsidRDefault="00567C3E" w:rsidP="00567C3E">
      <w:pPr>
        <w:spacing w:after="120"/>
        <w:ind w:firstLine="709"/>
        <w:jc w:val="both"/>
        <w:rPr>
          <w:rFonts w:ascii="Garamond" w:hAnsi="Garamond"/>
        </w:rPr>
      </w:pPr>
      <w:r w:rsidRPr="00B22B87">
        <w:rPr>
          <w:rFonts w:ascii="Garamond" w:hAnsi="Garamond"/>
        </w:rPr>
        <w:t xml:space="preserve">Niezwykle ważnym elementem wpływającym na jakość kształcenia zawodowego jest stan infrastruktury i wyposażenia szkół. Szkoły z terenu ORSG mają w tym względzie znaczące potrzeby. Wskazuje się na potrzebę modernizacji infrastruktury szkół oraz w szczególności unowocześnienia i doposażenia poszczególnych pracowni kształcenia zawodowego czy adaptacji pomieszczeń na nowe pracownie zawodowe, w tym przystosowane do nowych kierunków kształcenia. </w:t>
      </w:r>
      <w:r w:rsidRPr="00CC0604">
        <w:rPr>
          <w:rFonts w:ascii="Garamond" w:hAnsi="Garamond"/>
        </w:rPr>
        <w:t>Istnieje konieczność doposażenia placówek m. in. w komputery, tablice multimedialne, projektory, oprogramowanie, specjalistyczny sprzęt i maszyny do praktycznej nauki zawodu oraz meble. Istotnym</w:t>
      </w:r>
      <w:r w:rsidRPr="00B22B87">
        <w:rPr>
          <w:rFonts w:ascii="Garamond" w:hAnsi="Garamond"/>
        </w:rPr>
        <w:t xml:space="preserve"> elementem poprawy jakości kształcenia zawodowego jest także zabieganie o zacieśnianie współpracy edukacji ze sferą przedsiębiorstw umożliwiając uczniom praktyczną naukę zawodu w przedsiębiorstwach w ramach bardziej rozwiniętego systemu praktyk zawodowych i staży.</w:t>
      </w:r>
      <w:r w:rsidRPr="001534A8">
        <w:rPr>
          <w:rFonts w:ascii="Garamond" w:hAnsi="Garamond"/>
        </w:rPr>
        <w:t xml:space="preserve"> </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Szkoły wykazują również potrzeby w zakresie rozwoju oferty zajęć pozalekcyjnych i pozaszkolnych związanej z przedmiotami zawodowymi. Zwraca się uwagę, że aby podnieść jakość kształcenia w tych przedmiotach należy zapewnić dodatkową ofertę takich zajęć. Dotychczasowa oferta, realizowana wybiórczo i nie we wszystkich szkołach, nie spełnia bowiem oczekiwań związanych z zapewnieniem możliwości dostępu do większej liczby godzin niezbędnych dla dobrej edukacji w zakresie praktycznej nauki zawodu dla uczniów szkół kształcenia zawodowego.</w:t>
      </w:r>
    </w:p>
    <w:p w:rsidR="00567C3E" w:rsidRPr="001534A8" w:rsidRDefault="00567C3E" w:rsidP="00567C3E">
      <w:pPr>
        <w:spacing w:after="120"/>
        <w:ind w:firstLine="709"/>
        <w:jc w:val="both"/>
        <w:rPr>
          <w:rFonts w:ascii="Garamond" w:hAnsi="Garamond"/>
        </w:rPr>
      </w:pPr>
      <w:r w:rsidRPr="001534A8">
        <w:rPr>
          <w:rFonts w:ascii="Garamond" w:hAnsi="Garamond"/>
        </w:rPr>
        <w:t>Podniesienie jakości kształcenia zawodowego i jego lepsze dostosowanie do potrzeb rynku pracy wymagać będzie również podniesienia kompetencji i kwalifikacji nauczycieli kształcenia zawodowego. Należy zatem zapewnić i wspierać możliwości rozwoju kadry nauczycielskiej poprzez m. in.: studia i kursy doskonalące.</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Kształcenie ustawiczne dorosłych</w:t>
      </w:r>
    </w:p>
    <w:p w:rsidR="00567C3E" w:rsidRPr="001534A8" w:rsidRDefault="00567C3E" w:rsidP="00567C3E">
      <w:pPr>
        <w:spacing w:after="120"/>
        <w:ind w:firstLine="708"/>
        <w:jc w:val="both"/>
        <w:rPr>
          <w:rFonts w:ascii="Garamond" w:hAnsi="Garamond"/>
        </w:rPr>
      </w:pPr>
      <w:r w:rsidRPr="001534A8">
        <w:rPr>
          <w:rFonts w:ascii="Garamond" w:hAnsi="Garamond"/>
        </w:rPr>
        <w:t>Strategia Europa 2020 uznaje uczenie się przez całe życie i rozwijanie umiejętności za kluczowe elementy odpowiedzi na szeroko pojętą gospodarczą i społeczną strategię Unii Europejskiej, a także obecny kryzys gospodarczy oraz starzenie się społeczeństwa. Uczenie się dorosłych daje osobom, które dotknęło bezrobocie, restrukturyzacja, lub które stanęły przed koniecznością transformacji zawodowej, możliwość podniesienia kwalifikacji lub przekwalifikowania, w istotny sposób przyczyniając się także do włączenia społecznego, aktywności obywatelskiej i rozwoju osobistego</w:t>
      </w:r>
      <w:r w:rsidRPr="001534A8">
        <w:rPr>
          <w:rStyle w:val="Odwoanieprzypisudolnego"/>
          <w:rFonts w:ascii="Garamond" w:hAnsi="Garamond"/>
        </w:rPr>
        <w:footnoteReference w:id="15"/>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Odsetek osób w wieku 25-64 lata, które kształcą lub dokształcają się, wyniósł w 2014 roku dla 28 krajów Unii Europejskiej 10,7%. W Polsce wskaźnik ten osiągnął poziom znacznie niższy – 4,0%. W województwie kujawsko – pomorskim sytuacja przedstawiała się jeszcze gorzej – wartość wskaźnika to 3,8%</w:t>
      </w:r>
      <w:r w:rsidRPr="001534A8">
        <w:rPr>
          <w:rStyle w:val="Odwoanieprzypisudolnego"/>
          <w:rFonts w:ascii="Garamond" w:hAnsi="Garamond"/>
        </w:rPr>
        <w:footnoteReference w:id="16"/>
      </w:r>
      <w:r w:rsidRPr="001534A8">
        <w:rPr>
          <w:rFonts w:ascii="Garamond" w:hAnsi="Garamond"/>
        </w:rPr>
        <w:t>. Strategia Rozwoju Kapitału Ludzkiego zakłada podniesienie wartości tego wskaźnika do 10% w 2020 roku, zaś strategiczne ramy Europejskiej współpracy w dziedzinie kształcenia i szkolenia („ET 2020”) zakładają podniesienie wskaźnika do 15% dla całej wszystkich krajów UE</w:t>
      </w:r>
      <w:r w:rsidRPr="001534A8">
        <w:rPr>
          <w:rStyle w:val="Odwoanieprzypisudolnego"/>
          <w:rFonts w:ascii="Garamond" w:hAnsi="Garamond"/>
        </w:rPr>
        <w:footnoteReference w:id="17"/>
      </w:r>
      <w:r w:rsidRPr="001534A8">
        <w:rPr>
          <w:rFonts w:ascii="Garamond" w:hAnsi="Garamond"/>
        </w:rPr>
        <w:t>. Dlatego niezwykle ważne jest podniesienie we wszystkich regionach stopnia upowszechnienia uczenia się przez całe życie.</w:t>
      </w:r>
    </w:p>
    <w:p w:rsidR="00567C3E" w:rsidRPr="001534A8" w:rsidRDefault="00567C3E" w:rsidP="00567C3E">
      <w:pPr>
        <w:spacing w:after="120"/>
        <w:ind w:firstLine="708"/>
        <w:jc w:val="both"/>
        <w:rPr>
          <w:rFonts w:ascii="Garamond" w:hAnsi="Garamond"/>
        </w:rPr>
      </w:pPr>
      <w:r w:rsidRPr="001534A8">
        <w:rPr>
          <w:rFonts w:ascii="Garamond" w:hAnsi="Garamond"/>
        </w:rPr>
        <w:t>Główną placówką realizującą tą formę kształcenia na terenie ORSG jest Regionalne Centrum Kształcenia Praktycznego i Ustawicznego w Brodnicy. Należy zatem wspierać działania tej placówki w szczególności nakierowane na rozwój kompetencji kluczowych oraz praktycznej nauki zawodu jej uczniów jak również realizować potrzeby związane z doskonaleniem kadry pedagogicznej. Należy także zabiegać o utrzymanie odpowiedniej jakości infrastruktury placówki.</w:t>
      </w:r>
    </w:p>
    <w:p w:rsidR="00567C3E" w:rsidRPr="001534A8" w:rsidRDefault="00567C3E" w:rsidP="00567C3E">
      <w:pPr>
        <w:spacing w:after="120"/>
        <w:ind w:firstLine="708"/>
        <w:jc w:val="both"/>
        <w:rPr>
          <w:rFonts w:ascii="Garamond" w:hAnsi="Garamond"/>
        </w:rPr>
      </w:pPr>
      <w:r w:rsidRPr="001534A8">
        <w:rPr>
          <w:rFonts w:ascii="Garamond" w:hAnsi="Garamond"/>
        </w:rPr>
        <w:t xml:space="preserve">Dorośli najchętniej i najefektywniej dokształcają się gdy potrzeba podniesienia ich kwalifikacji wynika bezpośrednio z zapotrzebowania zgłaszanego przez rynek pracy. Jednym z głównych problemów zdiagnozowanych na ORSG jest zjawisko „starzejącego się” społeczeństwa, w związku z tym warto uwzględnić w ofercie kształcenia dorosłych, szkolenia dla kobiet w zakresie opieki nad osobami starszymi. </w:t>
      </w:r>
    </w:p>
    <w:p w:rsidR="00567C3E" w:rsidRPr="001534A8" w:rsidRDefault="00567C3E" w:rsidP="00567C3E">
      <w:pPr>
        <w:spacing w:after="120"/>
        <w:ind w:firstLine="708"/>
        <w:jc w:val="both"/>
        <w:rPr>
          <w:rFonts w:ascii="Garamond" w:hAnsi="Garamond"/>
        </w:rPr>
      </w:pPr>
      <w:r w:rsidRPr="001534A8">
        <w:rPr>
          <w:rFonts w:ascii="Garamond" w:hAnsi="Garamond"/>
          <w:bCs/>
        </w:rPr>
        <w:t>W 2014 r. pracodawcy z terenu ORSG najczęściej deklarowali chęć zatrudnienia osób, które ukończą szkolenia z zakresu</w:t>
      </w:r>
      <w:r w:rsidRPr="001534A8">
        <w:rPr>
          <w:rStyle w:val="Odwoanieprzypisudolnego"/>
          <w:rFonts w:ascii="Garamond" w:hAnsi="Garamond"/>
        </w:rPr>
        <w:footnoteReference w:id="18"/>
      </w:r>
      <w:r w:rsidRPr="001534A8">
        <w:rPr>
          <w:rFonts w:ascii="Garamond" w:hAnsi="Garamond"/>
          <w:bCs/>
        </w:rPr>
        <w:t>:</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operator „ciężkiego sprzętu” (koparko-ładowarek, wózków jezdniowych, ładowarek jednonaczyniowych)</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spawania metodą MAG i  TIG</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lastRenderedPageBreak/>
        <w:t>kierowca samochodu ciężarowego z uprawnieniami z zakresu prawa jazdy kat. C+E oraz świadectwem kwalifikacji w zakresie przewozu rzeczy</w:t>
      </w:r>
    </w:p>
    <w:p w:rsidR="00567C3E" w:rsidRPr="001534A8" w:rsidRDefault="00567C3E" w:rsidP="00567C3E">
      <w:pPr>
        <w:numPr>
          <w:ilvl w:val="0"/>
          <w:numId w:val="21"/>
        </w:numPr>
        <w:spacing w:after="0"/>
        <w:ind w:left="709" w:hanging="283"/>
        <w:jc w:val="both"/>
        <w:rPr>
          <w:rFonts w:ascii="Garamond" w:hAnsi="Garamond"/>
        </w:rPr>
      </w:pPr>
      <w:r w:rsidRPr="001534A8">
        <w:rPr>
          <w:rFonts w:ascii="Garamond" w:hAnsi="Garamond"/>
          <w:bCs/>
        </w:rPr>
        <w:t>szwaczka w tapicerstwie</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b/>
                <w:color w:val="FFFFFF"/>
              </w:rPr>
            </w:pPr>
            <w:r w:rsidRPr="001534A8">
              <w:rPr>
                <w:rFonts w:ascii="Garamond" w:eastAsia="Calibri" w:hAnsi="Garamond" w:cs="Times New Roman"/>
                <w:b/>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0353C12E" wp14:editId="3F26B962">
                  <wp:extent cx="539654" cy="540000"/>
                  <wp:effectExtent l="19050" t="0" r="0" b="0"/>
                  <wp:docPr id="61" name="Obraz 29"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Niespełna 65% dzieci na terenie ORSG w wieku 3-6 lat jest objętych edukacją przedszkolną, co jest odsetkiem niższym niż dla województwa kujawsko-pomorskiego jak i całego kraju. Jednym z celów rozwoju edukacji przedszkolnej powinno być zatem jej upowszechnianie oraz podniesienie świadomości rodziców na temat korzyści płynących dla dziecka z jego uczęszczania do przedszkola. W celu poprawy jakości świadczonych usług edukacyjnych przedszkola zgłaszają potrzeby dotyczące przede wszystkim modernizacji infrastruktury i wyposażenia, zapewnienia dodatkowych kierunkowych zajęć oraz podnoszenia kwalifikacji i kompetencji nauczycieli przedszkolnych</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4BA2BCDE" wp14:editId="3D348071">
                  <wp:extent cx="539654" cy="540000"/>
                  <wp:effectExtent l="19050" t="0" r="0" b="0"/>
                  <wp:docPr id="62" name="Obraz 30"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Problemem edukacji na ORSG Powiatu Brodnickiego na wszystkich poziomach kształcenia jest niewystarczająca oferta zajęć pozalekcyjnych w zakresie rozwijania kompetencji kluczowych uczniów. Zdecydowana większość szkół prowadzi wprawdzie dodatkowe zajęcia w tym zakresie, zasadniczo stanowią one jednak kontynuację podstawowego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Brakuje także wsparcia dla osób ponadprzeciętnych i wyjątkowo uzdolnionych. Dlatego też istnieje potrzeba rozwijania oferty zajęć pozalekcyjnych w zakresie kompetencji kluczowych, przy jednoczesnym podnoszeniu kwalifikacji kadry nauczycielskiej w tym zakresie, co w efekcie pozwoli dodatkowo rozbudować ofertę tych zajęć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22304931" wp14:editId="3174A3FC">
                  <wp:extent cx="539654" cy="540000"/>
                  <wp:effectExtent l="19050" t="0" r="0" b="0"/>
                  <wp:docPr id="63" name="Obraz 31"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Osoby z wykształceniem zasadniczym zawodowym, obok osób z wykształceniem gimnazjalnym i poniżej, stanowiły 2013 r. tak na obszarze ORSG jak i w województwie kujawsko-pomorskim największą grupę bezrobotnych. Należy zatem zabiegać o zapewnienie wysokiej jakości szkolnictwa zawodowego poprzez z jednej strony dostosowywanie oferty kształcenia do potrzeb rynku pracy, z drugiej - rozwój infrastruktury edukacyjnej, w szczególności pracowni i warsztatów kształcenia praktycznego, a także oferty zajęć pozalekcyjnych w zakresie przedmiotów zawodowych. Istotne w tym względzie jest również podnoszenie kwalifikacji i kompetencji nauczycieli przedmiotów zawodowych oraz przede wszystkim współpraca z lokalnymi firmami umożliwiająca uczniom dostęp do praktycznej nauki zawodu w przedsiębiorstwach </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62C3C373" wp14:editId="0B2E08DE">
                  <wp:extent cx="539654" cy="540000"/>
                  <wp:effectExtent l="19050" t="0" r="0" b="0"/>
                  <wp:docPr id="64" name="Obraz 32"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 xml:space="preserve">Na terenie ORSG diagnozuje się niedostatecznie rozwinięte doradztwo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zawodowe prowadzone przez szkoły. Szczególnie dotyczy to poziomu gimnazjalnego. W związku z tym, zachodzi większe prawdopodobieństwo, że wielu uczniów kształci się dalej w kierunkach nieodpowiadających ich predyspozycjom oraz potrzebom lokalnego rynku pracy. Dlatego też działaniem zasadnym i koniecznym jest zatrudnienie bądź ścisła współpraca gimnazjów (ale też szkół ponadgimnazjalnych) z profesjonalnymi doradcami </w:t>
            </w:r>
            <w:proofErr w:type="spellStart"/>
            <w:r w:rsidRPr="001534A8">
              <w:rPr>
                <w:rFonts w:ascii="Garamond" w:eastAsia="Calibri" w:hAnsi="Garamond" w:cs="Times New Roman"/>
                <w:sz w:val="20"/>
                <w:szCs w:val="20"/>
              </w:rPr>
              <w:t>edukacyjno</w:t>
            </w:r>
            <w:proofErr w:type="spellEnd"/>
            <w:r w:rsidRPr="001534A8">
              <w:rPr>
                <w:rFonts w:ascii="Garamond" w:eastAsia="Calibri" w:hAnsi="Garamond" w:cs="Times New Roman"/>
                <w:sz w:val="20"/>
                <w:szCs w:val="20"/>
              </w:rPr>
              <w:t xml:space="preserve"> – zawodowymi</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0016EA52" wp14:editId="0A27EBB6">
                  <wp:extent cx="539654" cy="540000"/>
                  <wp:effectExtent l="19050" t="0" r="0" b="0"/>
                  <wp:docPr id="65"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Dorośli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 Ukończenie tego typu szkoleń pozwala na umocnienie swojej pozycji na rynku pracy bądź na zdobycie nowego zatrudnienia. Ważne jest, aby ofertę kursów i szkoleń dostosować do aktualnej sytuacji na rynku pracy. Obecnie aż 60% bezrobotnych stanowią kobiety, dlatego prowadzone działania powinny w szczególności uwzględniać ich potrzeby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drawing>
                <wp:inline distT="0" distB="0" distL="0" distR="0" wp14:anchorId="388A6722" wp14:editId="30A34575">
                  <wp:extent cx="539654" cy="540000"/>
                  <wp:effectExtent l="19050" t="0" r="0" b="0"/>
                  <wp:docPr id="47"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 xml:space="preserve">W zakresie ograniczania społecznych efektów problemów wynikających z dezorganizacji rodziny oraz z wykluczenia społecznego i zagrożenia wykluczeniem społecznym gminy prowadziły najczęściej działania w formie programów ograniczających i przeciwdziałających wykluczeniu społecznemu, wiele z nich realizowanych było ze wsparciem funduszy unijnych z perspektywy finansowej 2007 – 2013. Nie wszystkie jednak zapewniały dostęp do kompleksowego poradnictwa rodzinnego. Wymagane jest poszerzanie spektrum działań i realizacja projektów systemowych przeciwdziałających wykluczeniu społecznemu oraz większa dostępność specjalistycznego poradnictwa rodzinnego (w tym asystenta rodziny), w szczególności w </w:t>
            </w:r>
            <w:r w:rsidRPr="001534A8">
              <w:rPr>
                <w:rFonts w:ascii="Garamond" w:hAnsi="Garamond"/>
                <w:sz w:val="20"/>
                <w:szCs w:val="20"/>
              </w:rPr>
              <w:lastRenderedPageBreak/>
              <w:t>lokalnych, gminnych ośrodkach pomocy społecznej. Ważnym jest tu także zapewnienie wsparcia uczniom o specyficznych potrzebach edukacyjnych w tym uczniom młodszym i niepełnosprawnym (zajęcia korekcyjno-kompensacyjne, doradztwo edukacyjno-zawodowe)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noProof/>
              </w:rPr>
            </w:pPr>
            <w:r w:rsidRPr="007F1FC6">
              <w:rPr>
                <w:rFonts w:ascii="Garamond" w:eastAsia="Calibri" w:hAnsi="Garamond" w:cs="Times New Roman"/>
                <w:noProof/>
              </w:rPr>
              <w:lastRenderedPageBreak/>
              <w:drawing>
                <wp:inline distT="0" distB="0" distL="0" distR="0" wp14:anchorId="02AC736C" wp14:editId="2CD4A883">
                  <wp:extent cx="571500" cy="571500"/>
                  <wp:effectExtent l="19050" t="0" r="0" b="0"/>
                  <wp:docPr id="48"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hAnsi="Garamond"/>
                <w:sz w:val="20"/>
                <w:szCs w:val="20"/>
              </w:rPr>
            </w:pPr>
            <w:r w:rsidRPr="001534A8">
              <w:rPr>
                <w:rFonts w:ascii="Garamond" w:eastAsia="Calibri" w:hAnsi="Garamond" w:cs="Times New Roman"/>
                <w:sz w:val="20"/>
                <w:szCs w:val="20"/>
              </w:rPr>
              <w:t>Na ORSG corocznie wydawanych jest przez Powiatowy Zespół do Spraw Orzekania o Niepełnosprawności ok. 2 tys. orzeczeń o niepełnosprawności i o stopniu niepełnosprawności. Istotnym zadaniem jest zatem wsparcie integracji społeczno-zawodowej osób niepełnosprawnych (poprzez m.in.: poradnictwo zawodowe, szkolenia, pobudzanie aktywności społecznej, zajęcia rehabilitacyjno-usprawniające, w szczególności dla dzieci). Zasadniczą kwestią jest stworzenie możliwości aktywnej integracji, poprzez m. in.: likwidację barier architektonicznych, technicznych oraz barier w komunikowaniu się. Szczególnie ważne jest łagodzenie barier architektonicznych w szkołach, gdyż uniemożliwiają one realizację tzw. edukacji włączającej, wskazanej w edukacji dzieci niepełnosprawnych</w:t>
            </w:r>
          </w:p>
        </w:tc>
      </w:tr>
    </w:tbl>
    <w:p w:rsidR="00567C3E" w:rsidRPr="001534A8" w:rsidRDefault="00567C3E" w:rsidP="00567C3E">
      <w:pPr>
        <w:spacing w:after="120"/>
        <w:jc w:val="both"/>
        <w:rPr>
          <w:rFonts w:ascii="Garamond" w:hAnsi="Garamond"/>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56" w:name="_Toc415228160"/>
            <w:bookmarkStart w:id="57" w:name="_Toc419705520"/>
            <w:r w:rsidRPr="001534A8">
              <w:lastRenderedPageBreak/>
              <w:t>Kultura</w:t>
            </w:r>
            <w:bookmarkEnd w:id="56"/>
            <w:bookmarkEnd w:id="57"/>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b/>
                <w:color w:val="824BB0"/>
                <w:sz w:val="24"/>
              </w:rPr>
            </w:pPr>
            <w:r w:rsidRPr="001534A8">
              <w:object w:dxaOrig="1890" w:dyaOrig="1260">
                <v:shape id="_x0000_i1030" type="#_x0000_t75" style="width:108.75pt;height:1in" o:ole="">
                  <v:imagedata r:id="rId51" o:title=""/>
                </v:shape>
                <o:OLEObject Type="Embed" ProgID="PBrush" ShapeID="_x0000_i1030" DrawAspect="Content" ObjectID="_1592972278" r:id="rId52"/>
              </w:object>
            </w:r>
          </w:p>
        </w:tc>
      </w:tr>
    </w:tbl>
    <w:p w:rsidR="00567C3E" w:rsidRPr="001534A8" w:rsidRDefault="00567C3E" w:rsidP="00567C3E">
      <w:pPr>
        <w:spacing w:after="120"/>
        <w:ind w:firstLine="708"/>
        <w:jc w:val="both"/>
        <w:rPr>
          <w:rFonts w:ascii="Garamond" w:hAnsi="Garamond"/>
        </w:rPr>
      </w:pPr>
    </w:p>
    <w:p w:rsidR="00567C3E" w:rsidRPr="001534A8" w:rsidRDefault="00567C3E" w:rsidP="00567C3E">
      <w:pPr>
        <w:spacing w:after="120"/>
        <w:ind w:firstLine="708"/>
        <w:jc w:val="both"/>
        <w:rPr>
          <w:rFonts w:ascii="Garamond" w:hAnsi="Garamond"/>
        </w:rPr>
      </w:pPr>
      <w:r w:rsidRPr="001534A8">
        <w:rPr>
          <w:rFonts w:ascii="Garamond" w:hAnsi="Garamond"/>
        </w:rPr>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1534A8">
        <w:rPr>
          <w:rStyle w:val="Odwoanieprzypisudolnego"/>
          <w:rFonts w:ascii="Garamond" w:hAnsi="Garamond"/>
        </w:rPr>
        <w:footnoteReference w:id="19"/>
      </w:r>
      <w:r w:rsidRPr="001534A8">
        <w:rPr>
          <w:rFonts w:ascii="Garamond" w:hAnsi="Garamond"/>
        </w:rPr>
        <w:t>. Na terenie ORSG nie występuje jednak duża liczba instytucji kultury. Najwięcej jest tu bibliotek (28 placówek wraz z filiami) oraz domów i ośrodków kultury, klubów i świetlic (24 placówki). Poza tym działa jedno muzeum. Brak jest natomiast kina, teatru oraz instytucji muzycznych.</w:t>
      </w:r>
    </w:p>
    <w:p w:rsidR="00567C3E" w:rsidRPr="001534A8" w:rsidRDefault="00567C3E" w:rsidP="00567C3E">
      <w:pPr>
        <w:pStyle w:val="T"/>
      </w:pPr>
      <w:bookmarkStart w:id="58" w:name="_Toc430872007"/>
      <w:r w:rsidRPr="001534A8">
        <w:t xml:space="preserve">Tabela </w:t>
      </w:r>
      <w:r>
        <w:t>25</w:t>
      </w:r>
      <w:r w:rsidRPr="001534A8">
        <w:t>. Zestawienie instytucji kultury w na terenie ORSG Powiatu Brodnickiego w 2013 r.</w:t>
      </w:r>
      <w:bookmarkEnd w:id="58"/>
    </w:p>
    <w:tbl>
      <w:tblPr>
        <w:tblW w:w="4197" w:type="pct"/>
        <w:tblInd w:w="675"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5"/>
        <w:gridCol w:w="1102"/>
        <w:gridCol w:w="1034"/>
        <w:gridCol w:w="709"/>
        <w:gridCol w:w="1173"/>
        <w:gridCol w:w="812"/>
        <w:gridCol w:w="991"/>
      </w:tblGrid>
      <w:tr w:rsidR="00567C3E" w:rsidRPr="001534A8" w:rsidTr="00D32FA7">
        <w:tc>
          <w:tcPr>
            <w:tcW w:w="1267" w:type="pct"/>
            <w:tcBorders>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Jednostka terytorialna</w:t>
            </w:r>
          </w:p>
        </w:tc>
        <w:tc>
          <w:tcPr>
            <w:tcW w:w="707"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Biblioteki i filie</w:t>
            </w:r>
          </w:p>
        </w:tc>
        <w:tc>
          <w:tcPr>
            <w:tcW w:w="663"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Domy i ośrodki kultury, kluby i świetlice</w:t>
            </w:r>
          </w:p>
        </w:tc>
        <w:tc>
          <w:tcPr>
            <w:tcW w:w="455"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Kina</w:t>
            </w:r>
          </w:p>
        </w:tc>
        <w:tc>
          <w:tcPr>
            <w:tcW w:w="752"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Muzea z oddziałami</w:t>
            </w:r>
          </w:p>
        </w:tc>
        <w:tc>
          <w:tcPr>
            <w:tcW w:w="521" w:type="pct"/>
            <w:tcBorders>
              <w:left w:val="single" w:sz="4" w:space="0" w:color="FFFFFF"/>
              <w:righ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Teatry</w:t>
            </w:r>
          </w:p>
        </w:tc>
        <w:tc>
          <w:tcPr>
            <w:tcW w:w="636" w:type="pct"/>
            <w:tcBorders>
              <w:left w:val="single" w:sz="4" w:space="0" w:color="FFFFFF"/>
            </w:tcBorders>
            <w:shd w:val="clear" w:color="auto" w:fill="824BB0"/>
            <w:vAlign w:val="center"/>
          </w:tcPr>
          <w:p w:rsidR="00567C3E" w:rsidRPr="001534A8" w:rsidRDefault="00567C3E" w:rsidP="00D32FA7">
            <w:pPr>
              <w:spacing w:before="40" w:after="40" w:line="240" w:lineRule="auto"/>
              <w:jc w:val="center"/>
              <w:rPr>
                <w:rFonts w:ascii="Garamond" w:hAnsi="Garamond"/>
                <w:color w:val="FFFFFF"/>
                <w:sz w:val="20"/>
                <w:szCs w:val="20"/>
              </w:rPr>
            </w:pPr>
            <w:r w:rsidRPr="001534A8">
              <w:rPr>
                <w:rFonts w:ascii="Garamond" w:hAnsi="Garamond"/>
                <w:color w:val="FFFFFF"/>
                <w:sz w:val="20"/>
                <w:szCs w:val="20"/>
              </w:rPr>
              <w:t>Instytucje muzyczne</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Bartniczka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Bobrowo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5</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2</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shd w:val="clear" w:color="auto" w:fill="FFFFFF"/>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Brzozie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Górzno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Jabłonowo Pomorskie</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Osiek</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1</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Świedziebnia</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3</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sz w:val="20"/>
                <w:szCs w:val="20"/>
              </w:rPr>
            </w:pPr>
            <w:r w:rsidRPr="001534A8">
              <w:rPr>
                <w:rFonts w:ascii="Garamond" w:hAnsi="Garamond" w:cs="Arial"/>
                <w:sz w:val="20"/>
                <w:szCs w:val="20"/>
              </w:rPr>
              <w:t>Zbiczno</w:t>
            </w:r>
          </w:p>
        </w:tc>
        <w:tc>
          <w:tcPr>
            <w:tcW w:w="707"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4</w:t>
            </w:r>
          </w:p>
        </w:tc>
        <w:tc>
          <w:tcPr>
            <w:tcW w:w="663"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9</w:t>
            </w:r>
          </w:p>
        </w:tc>
        <w:tc>
          <w:tcPr>
            <w:tcW w:w="455"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521"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sz w:val="20"/>
                <w:szCs w:val="20"/>
              </w:rPr>
            </w:pPr>
            <w:r w:rsidRPr="001534A8">
              <w:rPr>
                <w:rFonts w:ascii="Garamond" w:hAnsi="Garamond"/>
                <w:sz w:val="20"/>
                <w:szCs w:val="20"/>
              </w:rPr>
              <w:t>0</w:t>
            </w:r>
          </w:p>
        </w:tc>
      </w:tr>
      <w:tr w:rsidR="00567C3E" w:rsidRPr="001534A8" w:rsidTr="00D32FA7">
        <w:tc>
          <w:tcPr>
            <w:tcW w:w="1267" w:type="pct"/>
            <w:vAlign w:val="center"/>
          </w:tcPr>
          <w:p w:rsidR="00567C3E" w:rsidRPr="001534A8" w:rsidRDefault="00567C3E" w:rsidP="00D32FA7">
            <w:pPr>
              <w:spacing w:before="40" w:after="40" w:line="240" w:lineRule="auto"/>
              <w:rPr>
                <w:rFonts w:ascii="Garamond" w:hAnsi="Garamond" w:cs="Arial"/>
                <w:b/>
                <w:bCs/>
                <w:sz w:val="20"/>
                <w:szCs w:val="20"/>
              </w:rPr>
            </w:pPr>
            <w:r w:rsidRPr="001534A8">
              <w:rPr>
                <w:rFonts w:ascii="Garamond" w:hAnsi="Garamond" w:cs="Arial"/>
                <w:b/>
                <w:bCs/>
                <w:sz w:val="20"/>
                <w:szCs w:val="20"/>
              </w:rPr>
              <w:t>ORSG</w:t>
            </w:r>
          </w:p>
        </w:tc>
        <w:tc>
          <w:tcPr>
            <w:tcW w:w="707"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28</w:t>
            </w:r>
          </w:p>
        </w:tc>
        <w:tc>
          <w:tcPr>
            <w:tcW w:w="663"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24</w:t>
            </w:r>
          </w:p>
        </w:tc>
        <w:tc>
          <w:tcPr>
            <w:tcW w:w="455"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752"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1</w:t>
            </w:r>
          </w:p>
        </w:tc>
        <w:tc>
          <w:tcPr>
            <w:tcW w:w="521"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c>
          <w:tcPr>
            <w:tcW w:w="636" w:type="pct"/>
            <w:vAlign w:val="center"/>
          </w:tcPr>
          <w:p w:rsidR="00567C3E" w:rsidRPr="001534A8" w:rsidRDefault="00567C3E" w:rsidP="00D32FA7">
            <w:pPr>
              <w:spacing w:before="40" w:after="40" w:line="240" w:lineRule="auto"/>
              <w:jc w:val="right"/>
              <w:rPr>
                <w:rFonts w:ascii="Garamond" w:hAnsi="Garamond"/>
                <w:b/>
                <w:sz w:val="20"/>
                <w:szCs w:val="20"/>
              </w:rPr>
            </w:pPr>
            <w:r w:rsidRPr="001534A8">
              <w:rPr>
                <w:rFonts w:ascii="Garamond" w:hAnsi="Garamond"/>
                <w:b/>
                <w:sz w:val="20"/>
                <w:szCs w:val="20"/>
              </w:rPr>
              <w:t>0</w:t>
            </w:r>
          </w:p>
        </w:tc>
      </w:tr>
    </w:tbl>
    <w:p w:rsidR="00567C3E" w:rsidRPr="001534A8" w:rsidRDefault="00567C3E" w:rsidP="00567C3E">
      <w:pPr>
        <w:spacing w:before="120" w:after="120"/>
        <w:jc w:val="both"/>
        <w:rPr>
          <w:rFonts w:ascii="Garamond" w:hAnsi="Garamond"/>
        </w:rPr>
      </w:pPr>
      <w:r w:rsidRPr="001534A8">
        <w:rPr>
          <w:rFonts w:ascii="Garamond" w:hAnsi="Garamond"/>
        </w:rPr>
        <w:t xml:space="preserve">Źródło: </w:t>
      </w:r>
      <w:r w:rsidRPr="001534A8">
        <w:rPr>
          <w:rFonts w:ascii="Garamond" w:hAnsi="Garamond"/>
          <w:i/>
        </w:rPr>
        <w:t>Opracowanie własne na podstawie Banku Danych Lokalnych GUS.</w:t>
      </w:r>
    </w:p>
    <w:p w:rsidR="00567C3E" w:rsidRPr="001534A8" w:rsidRDefault="00567C3E" w:rsidP="00567C3E">
      <w:pPr>
        <w:spacing w:after="120"/>
        <w:ind w:firstLine="709"/>
        <w:jc w:val="both"/>
        <w:rPr>
          <w:rFonts w:ascii="Garamond" w:hAnsi="Garamond"/>
        </w:rPr>
      </w:pPr>
      <w:r w:rsidRPr="001534A8">
        <w:rPr>
          <w:rFonts w:ascii="Garamond" w:hAnsi="Garamond"/>
        </w:rPr>
        <w:t>Instytucje kultury mają szczególne znaczenie dla przekazu wartości kulturowych, istotnych z punktu widzenia funkcjonowania całego społeczeństwa. W tym kontekście ważne jest odpowiednie finansowanie tych instytucji, aby mogły one właściwie realizować powierzoną im misję publiczną</w:t>
      </w:r>
      <w:r w:rsidRPr="001534A8">
        <w:rPr>
          <w:rStyle w:val="Odwoanieprzypisudolnego"/>
          <w:rFonts w:ascii="Garamond" w:hAnsi="Garamond"/>
        </w:rPr>
        <w:footnoteReference w:id="20"/>
      </w:r>
      <w:r w:rsidRPr="001534A8">
        <w:rPr>
          <w:rFonts w:ascii="Garamond" w:hAnsi="Garamond"/>
        </w:rPr>
        <w:t xml:space="preserve">. W związku z tym, pomimo niewielkiej liczby takich instytucji na terenie ORSG, wymagane jest utrzymywanie ich w dobrym stanie technicznym. Wiele z nich prezentuje dość dobry stan techniczny, wiele jednak, w szczególności świetlice wiejskie, wymaga wsparcia w zakresie remontu pomieszczeń i dostosowania do potrzeb osób niepełnosprawnych. </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patriotyczne, religijne, naukowe i artystyczne, mające znaczenie dla tożsamości i ciągłości rozwoju społecznego i kulturalnego, które należy </w:t>
      </w:r>
      <w:r w:rsidRPr="001534A8">
        <w:rPr>
          <w:rFonts w:ascii="Garamond" w:hAnsi="Garamond"/>
        </w:rPr>
        <w:lastRenderedPageBreak/>
        <w:t xml:space="preserve">przekazać następnym pokoleniom. </w:t>
      </w:r>
      <w:r w:rsidRPr="001534A8">
        <w:rPr>
          <w:rFonts w:ascii="Garamond" w:hAnsi="Garamond" w:cs="Arial"/>
        </w:rPr>
        <w:t>Najważniejszymi obiektami zabytkowymi na terenie ORSG są przede wszystkim kościoły, pałace i dworki oraz zespoły pałacowo-dworskie.</w:t>
      </w:r>
    </w:p>
    <w:p w:rsidR="00567C3E" w:rsidRPr="001534A8" w:rsidRDefault="00567C3E" w:rsidP="00567C3E">
      <w:pPr>
        <w:spacing w:before="120" w:after="120"/>
        <w:jc w:val="both"/>
        <w:rPr>
          <w:rFonts w:ascii="Garamond" w:hAnsi="Garamond"/>
        </w:rPr>
      </w:pPr>
      <w:r w:rsidRPr="001534A8">
        <w:rPr>
          <w:rFonts w:ascii="Garamond" w:hAnsi="Garamond"/>
        </w:rPr>
        <w:tab/>
        <w:t>Liczbowe zestawienie obiektów dziedzictwa kulturowego jednostek z terenu ORSG, ujętych w rejestrze zabytków nieruchomych przedstawia się następująco:</w:t>
      </w:r>
    </w:p>
    <w:p w:rsidR="00567C3E" w:rsidRPr="001534A8" w:rsidRDefault="00567C3E" w:rsidP="00567C3E">
      <w:pPr>
        <w:pStyle w:val="T"/>
      </w:pPr>
      <w:bookmarkStart w:id="59" w:name="_Toc430872008"/>
      <w:r w:rsidRPr="001534A8">
        <w:t xml:space="preserve">Tabela </w:t>
      </w:r>
      <w:r>
        <w:t>26</w:t>
      </w:r>
      <w:r w:rsidRPr="001534A8">
        <w:t>. Obiekty dziedzictwa kulturowego, ujęte w rejestrze zabytków nieruchomych na terenie ORSG Powiatu Brodnickiego w 2013 r.</w:t>
      </w:r>
      <w:bookmarkEnd w:id="59"/>
    </w:p>
    <w:tbl>
      <w:tblPr>
        <w:tblW w:w="3743"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56"/>
        <w:gridCol w:w="1587"/>
      </w:tblGrid>
      <w:tr w:rsidR="00567C3E" w:rsidRPr="001534A8" w:rsidTr="00D32FA7">
        <w:trPr>
          <w:trHeight w:val="390"/>
          <w:jc w:val="center"/>
        </w:trPr>
        <w:tc>
          <w:tcPr>
            <w:tcW w:w="2156" w:type="dxa"/>
            <w:tcBorders>
              <w:righ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1587" w:type="dxa"/>
            <w:tcBorders>
              <w:left w:val="single" w:sz="4" w:space="0" w:color="FFFFFF" w:themeColor="background1"/>
            </w:tcBorders>
            <w:shd w:val="clear" w:color="auto" w:fill="824BB0"/>
            <w:vAlign w:val="center"/>
            <w:hideMark/>
          </w:tcPr>
          <w:p w:rsidR="00567C3E" w:rsidRPr="001534A8" w:rsidRDefault="00567C3E" w:rsidP="00D32FA7">
            <w:pPr>
              <w:spacing w:before="40" w:after="4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Liczba obiektów dziedzictwa kulturowego</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3</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m.</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17</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Brodnica g. w.</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11</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2</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8</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1587" w:type="dxa"/>
            <w:shd w:val="clear" w:color="auto" w:fill="auto"/>
            <w:noWrap/>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4</w:t>
            </w:r>
          </w:p>
        </w:tc>
      </w:tr>
      <w:tr w:rsidR="00567C3E" w:rsidRPr="001534A8" w:rsidTr="00D32FA7">
        <w:trPr>
          <w:trHeight w:val="20"/>
          <w:jc w:val="center"/>
        </w:trPr>
        <w:tc>
          <w:tcPr>
            <w:tcW w:w="2156" w:type="dxa"/>
            <w:shd w:val="clear" w:color="auto" w:fill="auto"/>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1587" w:type="dxa"/>
            <w:shd w:val="clear" w:color="auto" w:fill="auto"/>
            <w:vAlign w:val="bottom"/>
            <w:hideMark/>
          </w:tcPr>
          <w:p w:rsidR="00567C3E" w:rsidRPr="001534A8" w:rsidRDefault="00567C3E" w:rsidP="00D32FA7">
            <w:pPr>
              <w:spacing w:before="40" w:after="40" w:line="240" w:lineRule="auto"/>
              <w:jc w:val="center"/>
              <w:rPr>
                <w:rFonts w:ascii="Garamond" w:eastAsia="Times New Roman" w:hAnsi="Garamond" w:cs="Arial"/>
                <w:bCs/>
                <w:sz w:val="20"/>
                <w:szCs w:val="20"/>
              </w:rPr>
            </w:pPr>
            <w:r w:rsidRPr="001534A8">
              <w:rPr>
                <w:rFonts w:ascii="Garamond" w:eastAsia="Times New Roman" w:hAnsi="Garamond" w:cs="Arial"/>
                <w:bCs/>
                <w:sz w:val="20"/>
                <w:szCs w:val="20"/>
              </w:rPr>
              <w:t>5</w:t>
            </w:r>
          </w:p>
        </w:tc>
      </w:tr>
    </w:tbl>
    <w:p w:rsidR="00567C3E" w:rsidRPr="001534A8" w:rsidRDefault="00567C3E" w:rsidP="00567C3E">
      <w:pPr>
        <w:spacing w:before="120" w:after="120"/>
        <w:jc w:val="both"/>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danych Wojewódzkiego Urzędu Ochrony Zabytków w Toruniu.</w:t>
      </w:r>
    </w:p>
    <w:p w:rsidR="00567C3E" w:rsidRPr="00CC0604" w:rsidRDefault="00567C3E" w:rsidP="00567C3E">
      <w:pPr>
        <w:spacing w:after="120"/>
        <w:ind w:firstLine="709"/>
        <w:jc w:val="both"/>
        <w:rPr>
          <w:rFonts w:ascii="Garamond" w:hAnsi="Garamond" w:cs="Arial"/>
        </w:rPr>
      </w:pPr>
      <w:r w:rsidRPr="00CC0604">
        <w:rPr>
          <w:rFonts w:ascii="Garamond" w:hAnsi="Garamond" w:cs="Arial"/>
        </w:rPr>
        <w:t xml:space="preserve">W powiecie brodnickim występuje niewielka liczba obiektów kulturowych ujętych w rejestrze zabytków nieruchomych. Stan techniczny większości z nich jest niezadawalający. Zabytki wymagają prac konserwatorskich w celu zachowania lub przywrócenia ich stanu pierwotnego. Diagnozuje się potrzeby w zakresie renowacji zarówno wnętrz obiektów jak i ich elewacji zewnętrznej.   </w:t>
      </w:r>
    </w:p>
    <w:p w:rsidR="00567C3E" w:rsidRPr="00CC0604" w:rsidRDefault="00567C3E" w:rsidP="00567C3E">
      <w:pPr>
        <w:ind w:firstLine="708"/>
        <w:jc w:val="both"/>
        <w:rPr>
          <w:rFonts w:ascii="Garamond" w:hAnsi="Garamond"/>
          <w:b/>
        </w:rPr>
      </w:pPr>
      <w:r w:rsidRPr="00CC0604">
        <w:rPr>
          <w:rFonts w:ascii="Garamond" w:hAnsi="Garamond"/>
          <w:b/>
        </w:rPr>
        <w:t>Zestawienie najważniejszych zasobów kulturowych ORSG Powiatu Brodnickiego oraz potrzeby w zakresie zachowania, rozwoju, wsparcia i renowacji obiektów zabytkowych znajdują się w Załączniku nr 8 do Strategii.</w:t>
      </w:r>
    </w:p>
    <w:p w:rsidR="00567C3E" w:rsidRPr="0093123E" w:rsidRDefault="00567C3E" w:rsidP="00567C3E">
      <w:pPr>
        <w:spacing w:after="120"/>
        <w:ind w:firstLine="708"/>
        <w:jc w:val="both"/>
        <w:rPr>
          <w:rFonts w:ascii="Garamond" w:eastAsia="Times New Roman" w:hAnsi="Garamond" w:cs="Times New Roman"/>
          <w:bCs/>
          <w:szCs w:val="26"/>
        </w:rPr>
      </w:pPr>
      <w:r>
        <w:rPr>
          <w:rFonts w:ascii="Garamond" w:eastAsia="Times New Roman" w:hAnsi="Garamond" w:cs="Times New Roman"/>
          <w:bCs/>
          <w:szCs w:val="26"/>
        </w:rPr>
        <w:t>Na terenie P</w:t>
      </w:r>
      <w:r w:rsidRPr="00CC0604">
        <w:rPr>
          <w:rFonts w:ascii="Garamond" w:eastAsia="Times New Roman" w:hAnsi="Garamond" w:cs="Times New Roman"/>
          <w:bCs/>
          <w:szCs w:val="26"/>
        </w:rPr>
        <w:t>owiatu corocznie organizowane są imprezy i wydarzenia kulturalne. Przeważająca część z nich ma charakter gminny i powiatowy. W okresie letnim większość imprez odbywa się w plenerze (na rynku czy stadionie miejskim) natomiast w pozostałej części roku w obiektach krytych (hali widowiskowo-sportowej, domu kultury, świetlicy, szkole). Organizacja większej ilości imprez o skali krajowej czy międzynarodowej stanowi dobrą formę promocji regionu nie tylko w kraju, ale i zagranicą. Promowanie obszaru poprzez wydarzenia o szerokim zasięgu mogłoby wpłynąć na rozwój sektora turystyki w powiecie.</w:t>
      </w:r>
      <w:r>
        <w:rPr>
          <w:rFonts w:ascii="Garamond" w:eastAsia="Times New Roman" w:hAnsi="Garamond" w:cs="Times New Roman"/>
          <w:bCs/>
          <w:szCs w:val="26"/>
        </w:rPr>
        <w:t xml:space="preserve">     </w:t>
      </w:r>
    </w:p>
    <w:p w:rsidR="00567C3E" w:rsidRPr="001534A8" w:rsidRDefault="00567C3E" w:rsidP="00567C3E">
      <w:pPr>
        <w:spacing w:after="120"/>
        <w:jc w:val="both"/>
        <w:rPr>
          <w:rFonts w:ascii="Garamond" w:hAnsi="Garamond" w:cs="Arial"/>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3"/>
        <w:gridCol w:w="3477"/>
        <w:gridCol w:w="4142"/>
        <w:gridCol w:w="76"/>
      </w:tblGrid>
      <w:tr w:rsidR="00567C3E" w:rsidRPr="001534A8" w:rsidTr="00D32FA7">
        <w:tc>
          <w:tcPr>
            <w:tcW w:w="5000" w:type="pct"/>
            <w:gridSpan w:val="4"/>
            <w:tcBorders>
              <w:top w:val="single" w:sz="4" w:space="0" w:color="824BB0"/>
              <w:left w:val="single" w:sz="4" w:space="0" w:color="824BB0"/>
              <w:bottom w:val="single" w:sz="4" w:space="0" w:color="824BB0"/>
              <w:right w:val="single" w:sz="4" w:space="0" w:color="824BB0"/>
            </w:tcBorders>
            <w:shd w:val="clear" w:color="auto" w:fill="824BB0"/>
          </w:tcPr>
          <w:p w:rsidR="00567C3E" w:rsidRPr="001534A8" w:rsidRDefault="00567C3E" w:rsidP="00D32FA7">
            <w:pPr>
              <w:spacing w:before="20" w:after="20"/>
              <w:jc w:val="center"/>
              <w:rPr>
                <w:rFonts w:ascii="Garamond" w:eastAsia="Calibri" w:hAnsi="Garamond" w:cs="Times New Roman"/>
                <w:color w:val="FFFFFF"/>
              </w:rPr>
            </w:pPr>
            <w:r w:rsidRPr="001534A8">
              <w:rPr>
                <w:rFonts w:ascii="Garamond" w:eastAsia="Calibri" w:hAnsi="Garamond" w:cs="Times New Roman"/>
                <w:color w:val="FFFFFF"/>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75517EDC" wp14:editId="527CA386">
                  <wp:extent cx="539654" cy="540000"/>
                  <wp:effectExtent l="19050" t="0" r="0" b="0"/>
                  <wp:docPr id="74" name="Obraz 35"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Życie kulturalne mieszkańców ORSG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 Niemniej jednak organizowane są również imprezy o randze krajowej i międzynarodowej, głównie w Brodnicy</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center"/>
              <w:rPr>
                <w:rFonts w:ascii="Garamond" w:eastAsia="Calibri" w:hAnsi="Garamond" w:cs="Times New Roman"/>
              </w:rPr>
            </w:pPr>
            <w:r w:rsidRPr="001534A8">
              <w:rPr>
                <w:rFonts w:ascii="Garamond" w:eastAsia="Calibri" w:hAnsi="Garamond" w:cs="Times New Roman"/>
                <w:noProof/>
              </w:rPr>
              <w:drawing>
                <wp:inline distT="0" distB="0" distL="0" distR="0" wp14:anchorId="129A3136" wp14:editId="405E9CD0">
                  <wp:extent cx="539654" cy="540000"/>
                  <wp:effectExtent l="19050" t="0" r="0" b="0"/>
                  <wp:docPr id="75" name="Obraz 36"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gridSpan w:val="3"/>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jc w:val="both"/>
              <w:rPr>
                <w:rFonts w:ascii="Garamond" w:eastAsia="Calibri" w:hAnsi="Garamond" w:cs="Times New Roman"/>
                <w:sz w:val="20"/>
                <w:szCs w:val="20"/>
              </w:rPr>
            </w:pPr>
            <w:r w:rsidRPr="001534A8">
              <w:rPr>
                <w:rFonts w:ascii="Garamond" w:eastAsia="Calibri" w:hAnsi="Garamond" w:cs="Times New Roman"/>
                <w:sz w:val="20"/>
                <w:szCs w:val="20"/>
              </w:rPr>
              <w:t>Z racji niewielkiej liczby obiektów dziedzictwa kulturowego, ujętych w rejestrze zabytków, szczególnie wymagana jest ich ochrona i zachowanie. Wymagają one bowiem ciągłych inwestycji w zakresie renowacji zewnętrznej, jaki wewnętrznej. Ponadto w instytucjach kultury brakuje odpowiednio przeszkolonych animatorów kultury</w:t>
            </w:r>
          </w:p>
        </w:tc>
      </w:tr>
      <w:tr w:rsidR="00567C3E" w:rsidRPr="001534A8" w:rsidTr="00D3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1" w:type="pct"/>
        </w:trPr>
        <w:tc>
          <w:tcPr>
            <w:tcW w:w="2729" w:type="pct"/>
            <w:gridSpan w:val="2"/>
            <w:vAlign w:val="center"/>
          </w:tcPr>
          <w:p w:rsidR="00567C3E" w:rsidRPr="001534A8" w:rsidRDefault="00567C3E" w:rsidP="00D32FA7">
            <w:pPr>
              <w:pStyle w:val="ST3"/>
            </w:pPr>
            <w:bookmarkStart w:id="60" w:name="_Toc415228161"/>
            <w:bookmarkStart w:id="61" w:name="_Toc419705521"/>
            <w:r w:rsidRPr="001534A8">
              <w:lastRenderedPageBreak/>
              <w:t>Obszary problemowe wymagające rewitalizacji</w:t>
            </w:r>
            <w:bookmarkEnd w:id="60"/>
            <w:bookmarkEnd w:id="61"/>
          </w:p>
        </w:tc>
        <w:tc>
          <w:tcPr>
            <w:tcW w:w="2230" w:type="pct"/>
          </w:tcPr>
          <w:p w:rsidR="00567C3E" w:rsidRPr="001534A8" w:rsidRDefault="00567C3E" w:rsidP="00D32FA7">
            <w:pPr>
              <w:jc w:val="center"/>
              <w:rPr>
                <w:rFonts w:ascii="Garamond" w:hAnsi="Garamond" w:cs="Arial"/>
                <w:b/>
                <w:color w:val="824BB0"/>
                <w:sz w:val="24"/>
              </w:rPr>
            </w:pPr>
            <w:r w:rsidRPr="001534A8">
              <w:object w:dxaOrig="3030" w:dyaOrig="2880">
                <v:shape id="_x0000_i1031" type="#_x0000_t75" style="width:87.75pt;height:85.5pt" o:ole="">
                  <v:imagedata r:id="rId53" o:title=""/>
                </v:shape>
                <o:OLEObject Type="Embed" ProgID="PBrush" ShapeID="_x0000_i1031" DrawAspect="Content" ObjectID="_1592972279" r:id="rId54"/>
              </w:object>
            </w:r>
          </w:p>
        </w:tc>
      </w:tr>
    </w:tbl>
    <w:p w:rsidR="00567C3E" w:rsidRPr="001534A8" w:rsidRDefault="00567C3E" w:rsidP="00567C3E">
      <w:pPr>
        <w:spacing w:after="120"/>
        <w:jc w:val="both"/>
        <w:rPr>
          <w:rFonts w:ascii="Garamond" w:hAnsi="Garamond" w:cs="Arial"/>
          <w:b/>
          <w:color w:val="824BB0"/>
          <w:sz w:val="24"/>
        </w:rPr>
      </w:pPr>
    </w:p>
    <w:p w:rsidR="00567C3E" w:rsidRPr="001534A8" w:rsidRDefault="00567C3E" w:rsidP="00567C3E">
      <w:pPr>
        <w:spacing w:after="120"/>
        <w:ind w:firstLine="709"/>
        <w:jc w:val="both"/>
        <w:rPr>
          <w:rFonts w:ascii="Garamond" w:hAnsi="Garamond"/>
        </w:rPr>
      </w:pPr>
      <w:r w:rsidRPr="001534A8">
        <w:rPr>
          <w:rFonts w:ascii="Garamond" w:hAnsi="Garamond"/>
        </w:rPr>
        <w:t>Rewitalizacja jest ważną częścią myślenia o rozwoju miasta czy gminy i powinna stać się kluczowym programem społecznym i gospodarczym w odniesieniu do zidentyfikowanych tam obszarów problemowych. Służy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w:t>
      </w:r>
      <w:r w:rsidRPr="001534A8">
        <w:rPr>
          <w:rStyle w:val="Odwoanieprzypisudolnego"/>
          <w:rFonts w:ascii="Garamond" w:hAnsi="Garamond"/>
        </w:rPr>
        <w:footnoteReference w:id="21"/>
      </w:r>
      <w:r w:rsidRPr="001534A8">
        <w:rPr>
          <w:rFonts w:ascii="Garamond" w:hAnsi="Garamond"/>
        </w:rPr>
        <w:t xml:space="preserve">. </w:t>
      </w:r>
    </w:p>
    <w:p w:rsidR="00567C3E" w:rsidRPr="001534A8" w:rsidRDefault="00567C3E" w:rsidP="00567C3E">
      <w:pPr>
        <w:spacing w:after="120"/>
        <w:ind w:firstLine="708"/>
        <w:jc w:val="both"/>
        <w:rPr>
          <w:rFonts w:ascii="Garamond" w:hAnsi="Garamond"/>
        </w:rPr>
      </w:pPr>
      <w:r w:rsidRPr="001534A8">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do opracowania których będą zobowiązane wszystkie jednostki samorządu terytorialnego, chcące prowadzić procesy rewitalizacyjne.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Programy Rewitalizacji muszą powstać zgodnie z przedmiotowymi wytycznymi, które określą m.in. w jaki sposób należy wyznaczyć obszary problemowe wymagające przeprowadzenia działań rewitalizacyjnych. Poniżej przedstawiono obszary problemowe wskazane przez przedstawicieli JST tworzących ORSG Powiatu Brodnickiego. Jednocześnie należy nadmienić, że ze środków przewidzianych na realizację niniejszej Strategii Obszaru Rozwoju </w:t>
      </w:r>
      <w:proofErr w:type="spellStart"/>
      <w:r w:rsidRPr="001534A8">
        <w:rPr>
          <w:rFonts w:ascii="Garamond" w:hAnsi="Garamond"/>
        </w:rPr>
        <w:t>Społeczno</w:t>
      </w:r>
      <w:proofErr w:type="spellEnd"/>
      <w:r w:rsidRPr="001534A8">
        <w:rPr>
          <w:rFonts w:ascii="Garamond" w:hAnsi="Garamond"/>
        </w:rPr>
        <w:t xml:space="preserve"> -Gospodarczego będzie finansowana jedynie rewitalizacja obszarów miejskich. Środki na rewitalizację obszarów wiejskich będą przewidziane w ramach realizacji mechanizmu RLKS.</w:t>
      </w:r>
    </w:p>
    <w:p w:rsidR="00567C3E" w:rsidRPr="001534A8" w:rsidRDefault="00567C3E" w:rsidP="00567C3E">
      <w:pPr>
        <w:pStyle w:val="T"/>
      </w:pPr>
      <w:bookmarkStart w:id="62" w:name="_Toc413315491"/>
      <w:bookmarkStart w:id="63" w:name="_Toc430872009"/>
      <w:r w:rsidRPr="001534A8">
        <w:t xml:space="preserve">Tabela </w:t>
      </w:r>
      <w:r>
        <w:t>27</w:t>
      </w:r>
      <w:r w:rsidRPr="001534A8">
        <w:t>. Obszary problemowe wskazane do rewitalizacji</w:t>
      </w:r>
      <w:bookmarkEnd w:id="62"/>
      <w:bookmarkEnd w:id="63"/>
    </w:p>
    <w:tbl>
      <w:tblPr>
        <w:tblStyle w:val="Tabela-Siatka"/>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621"/>
        <w:gridCol w:w="6961"/>
        <w:gridCol w:w="706"/>
      </w:tblGrid>
      <w:tr w:rsidR="00567C3E" w:rsidRPr="001534A8" w:rsidTr="00D32FA7">
        <w:tc>
          <w:tcPr>
            <w:tcW w:w="1623" w:type="dxa"/>
            <w:tcBorders>
              <w:top w:val="nil"/>
              <w:left w:val="single" w:sz="4" w:space="0" w:color="7030A0"/>
              <w:bottom w:val="nil"/>
              <w:right w:val="single" w:sz="4" w:space="0" w:color="FFFFFF" w:themeColor="background1"/>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990" w:type="dxa"/>
            <w:tcBorders>
              <w:top w:val="nil"/>
              <w:left w:val="single" w:sz="4" w:space="0" w:color="FFFFFF" w:themeColor="background1"/>
              <w:bottom w:val="nil"/>
              <w:right w:val="nil"/>
            </w:tcBorders>
            <w:shd w:val="clear" w:color="auto" w:fill="7030A0"/>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Obszary problemowe</w:t>
            </w:r>
          </w:p>
        </w:tc>
        <w:tc>
          <w:tcPr>
            <w:tcW w:w="675" w:type="dxa"/>
            <w:tcBorders>
              <w:top w:val="nil"/>
              <w:left w:val="single" w:sz="4" w:space="0" w:color="FFFFFF" w:themeColor="background1"/>
              <w:bottom w:val="nil"/>
              <w:right w:val="nil"/>
            </w:tcBorders>
            <w:shd w:val="clear" w:color="auto" w:fill="7030A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 xml:space="preserve">PI </w:t>
            </w:r>
          </w:p>
        </w:tc>
      </w:tr>
      <w:tr w:rsidR="00567C3E" w:rsidRPr="001534A8" w:rsidTr="00D32FA7">
        <w:tc>
          <w:tcPr>
            <w:tcW w:w="1623" w:type="dxa"/>
            <w:tcBorders>
              <w:top w:val="nil"/>
            </w:tcBorders>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Bartniczka</w:t>
            </w:r>
          </w:p>
        </w:tc>
        <w:tc>
          <w:tcPr>
            <w:tcW w:w="6990" w:type="dxa"/>
            <w:tcBorders>
              <w:top w:val="nil"/>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Gminy nie występują obszary szczególnie niekorzystne i wymagające rewitalizacji ze względu na połączenie negatywnych zjawisk społecznych, gospodarczych i materialno-przestrzennych. Rewitalizacji należałoby poddać cały obszar Gminy. </w:t>
            </w:r>
          </w:p>
        </w:tc>
        <w:tc>
          <w:tcPr>
            <w:tcW w:w="675" w:type="dxa"/>
            <w:tcBorders>
              <w:top w:val="nil"/>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Bobrowo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Rewitalizacji w pierwszej kolejności wymagają tereny popegeerowskie tj. miejscowości: </w:t>
            </w:r>
            <w:proofErr w:type="spellStart"/>
            <w:r w:rsidRPr="001534A8">
              <w:rPr>
                <w:rFonts w:ascii="Garamond" w:hAnsi="Garamond"/>
                <w:sz w:val="20"/>
                <w:szCs w:val="20"/>
              </w:rPr>
              <w:t>Słoszewy</w:t>
            </w:r>
            <w:proofErr w:type="spellEnd"/>
            <w:r w:rsidRPr="001534A8">
              <w:rPr>
                <w:rFonts w:ascii="Garamond" w:hAnsi="Garamond"/>
                <w:sz w:val="20"/>
                <w:szCs w:val="20"/>
              </w:rPr>
              <w:t>, Bobrowo i Czekanowo</w:t>
            </w:r>
            <w:r w:rsidR="002A5B00">
              <w:rPr>
                <w:rFonts w:ascii="Garamond" w:hAnsi="Garamond"/>
                <w:sz w:val="20"/>
                <w:szCs w:val="20"/>
              </w:rPr>
              <w:t>, Kruszyny</w:t>
            </w:r>
            <w:r w:rsidRPr="001534A8">
              <w:rPr>
                <w:rFonts w:ascii="Garamond" w:hAnsi="Garamond"/>
                <w:sz w:val="20"/>
                <w:szCs w:val="20"/>
              </w:rPr>
              <w:t xml:space="preserve">. W miejscowościach tych występuje negatywne zjawisko społeczne związane ze znacznym wskaźnikiem ubóstwa. Objęcie ich programem rewitalizacji spowodowałoby poprawę jakości życia mieszkańców oraz podniesienie konkurencyjności tych obszarów. </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Obszar przeznaczony do rewitalizacji obejmie najprawdopodobniej obszar działań rewitalizacyjnych z lat 2007-2014, to jest centrum miasta, a projektowane tam działania będą stanowiły kontynuację działań z lat poprzednich.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9b</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gminie Brodnica obszarami takimi są miejscowości, a nawet tylko ich części,  w których przed laty funkcjonowały Państwowe Gospodarstwa Rolne tj. Karbowo, Cielęta, Kruszynki. Obszary te, w porównaniu z innymi rejonami Gminy, wyróżniają się negatywnie pod względem bezrobocia, ubóstwa, wykluczenia społecznego, nieumiejętności dostosowania się do nowych uwarunkowań i rzeczywistości </w:t>
            </w:r>
            <w:r w:rsidRPr="001534A8">
              <w:rPr>
                <w:rFonts w:ascii="Garamond" w:hAnsi="Garamond"/>
                <w:sz w:val="20"/>
                <w:szCs w:val="20"/>
              </w:rPr>
              <w:lastRenderedPageBreak/>
              <w:t>gospodarczej. Występują tu również problemami wynikające z nadużywania alkoholu. Tereny te ponadto (budownictwo wielorodzinne tzw. bloki) obsługiwane są przez urządzenia infrastruktury technicznej (wodociągi, kanalizację itp.) wybudowane kilkadziesiąt lat temu, w złym stanie technicznym, wymagające przeprowadzenia gruntowych  remontów lub wymiany na nowe. Występują tu także braki w infrastrukturze społecznej, kulturalnej i rekreacyjnej (np. świetlice, miejsca spotkań).</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lastRenderedPageBreak/>
              <w:t>Brzozie</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cały obszar Gminy Brzozie, ze szczególnym wskazaniem wsi popegeerowskich – Jajkowa oraz pozostałych wsi Wielkie i Małe Leźno, Zembrze, Janówko, Trepki. Obszary te, w porównaniu z innymi rejonami Gminy, wyróżniają się negatywnie pod względem bezrobocia, ubóstwa, wykluczenia społecznego oraz nieumiejętności dostosowania się do nowych uwarunkowań i rzeczywistości gospodarczej. Objęcie ludzi zamieszkałych na tych terenach rewitalizacją społeczną spowodowałoby poprawę jakości ich życia i rozwój tożsamości mieszkańców.</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Górzno</w:t>
            </w:r>
          </w:p>
        </w:tc>
        <w:tc>
          <w:tcPr>
            <w:tcW w:w="6990" w:type="dxa"/>
          </w:tcPr>
          <w:p w:rsidR="00567C3E" w:rsidRPr="001534A8" w:rsidRDefault="00567C3E" w:rsidP="00D32FA7">
            <w:pPr>
              <w:jc w:val="both"/>
              <w:rPr>
                <w:rFonts w:ascii="Garamond" w:hAnsi="Garamond"/>
                <w:sz w:val="20"/>
              </w:rPr>
            </w:pPr>
            <w:r w:rsidRPr="001534A8">
              <w:rPr>
                <w:rFonts w:ascii="Garamond" w:hAnsi="Garamond"/>
                <w:sz w:val="20"/>
              </w:rPr>
              <w:t>Wskazana jest rewitalizacja około 30 % obszaru miasta i gminy Górzno. Jako obszar o najwyższym priorytecie określono teren w granicach centrum miasta Górzna. Obszar ten wyróżnia się spośród otaczającej tkanki miejskiej różnorodnością oraz funkcją o charakterze publicznym. Koncentrują się tu najważniejsze instytucje życia publicznego a mianowicie Urząd Miasta i Gminy, Posterunek Policji, Gminny Ośrodek Kultury, Gminne Przedszkole, Kościół Parafialny, Urząd Pocztowy, Apteka, Liceum Katolickie, Niepubliczny Ośrodek Zdrowia</w:t>
            </w:r>
            <w:r w:rsidR="005124AB">
              <w:rPr>
                <w:rFonts w:ascii="Garamond" w:hAnsi="Garamond"/>
                <w:sz w:val="20"/>
              </w:rPr>
              <w:t xml:space="preserve">, </w:t>
            </w:r>
            <w:r w:rsidR="005124AB" w:rsidRPr="005124AB">
              <w:rPr>
                <w:rFonts w:ascii="Garamond" w:hAnsi="Garamond"/>
                <w:color w:val="FF0000"/>
                <w:sz w:val="20"/>
              </w:rPr>
              <w:t>OSP</w:t>
            </w:r>
            <w:r w:rsidRPr="005124AB">
              <w:rPr>
                <w:rFonts w:ascii="Garamond" w:hAnsi="Garamond"/>
                <w:color w:val="FF0000"/>
                <w:sz w:val="20"/>
              </w:rPr>
              <w:t>.</w:t>
            </w:r>
            <w:r w:rsidR="005124AB" w:rsidRPr="005124AB">
              <w:rPr>
                <w:rFonts w:ascii="Garamond" w:hAnsi="Garamond"/>
                <w:color w:val="FF0000"/>
                <w:sz w:val="20"/>
              </w:rPr>
              <w:t xml:space="preserve"> W jednostce wyznaczonej do rewitalizacji znajduje się 20 ulic.</w:t>
            </w:r>
            <w:r w:rsidRPr="005124AB">
              <w:rPr>
                <w:rFonts w:ascii="Garamond" w:hAnsi="Garamond"/>
                <w:color w:val="FF0000"/>
                <w:sz w:val="20"/>
              </w:rPr>
              <w:t xml:space="preserve"> </w:t>
            </w:r>
            <w:r w:rsidRPr="001534A8">
              <w:rPr>
                <w:rFonts w:ascii="Garamond" w:hAnsi="Garamond"/>
                <w:sz w:val="20"/>
              </w:rPr>
              <w:t>Większość tych budynków nie spełnia wymogów dla świadczonych usług oraz wygląd zewnętrzny odbiega od wyobrażenia stwierdzającego solidność i estetykę. Jednak rewitalizacji wymaga przede wszystkim rynek  miasta oraz park miejski. Wskazany obszar stanowi ścisłe centrum życia społecznego, publicznego i gospodarczego zarówno miasta jak  i  całej gminy. Istniejąca  infrastruktura techniczna i społeczna w obrębie rynku wymaga kompleksowych działań rewitalizacyjnych (nieliczna i nieuporządkowana architektonicznie mała infrastruktura, brak odpowiedniej ilości miejsc do krótkiego odpoczynku oraz stylowego oświetlenia, brak amfiteatru, miejsca spotkań integracyjnych – fontanna połączona z placem zabaw). Niezbędne także będzie utworzenie odpowiedniej ilości miejsc parkingowych. Pamiętać należy także o rewitalizacji kościoła Parafialnego pod wezwaniem Podwyższenia Krzyża Świętego w  Górznie, który przylega do rynku i stanowi główny zabytek architektoniczny miasta i gminy.</w:t>
            </w:r>
          </w:p>
        </w:tc>
        <w:tc>
          <w:tcPr>
            <w:tcW w:w="675" w:type="dxa"/>
            <w:vAlign w:val="center"/>
          </w:tcPr>
          <w:p w:rsidR="00567C3E" w:rsidRPr="001534A8" w:rsidRDefault="00567C3E" w:rsidP="00D32FA7">
            <w:pPr>
              <w:jc w:val="center"/>
              <w:rPr>
                <w:rFonts w:ascii="Garamond" w:hAnsi="Garamond"/>
                <w:sz w:val="20"/>
              </w:rPr>
            </w:pPr>
            <w:r w:rsidRPr="001534A8">
              <w:rPr>
                <w:rFonts w:ascii="Garamond" w:hAnsi="Garamond"/>
                <w:sz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Jabłonowo Pomorskie</w:t>
            </w:r>
          </w:p>
        </w:tc>
        <w:tc>
          <w:tcPr>
            <w:tcW w:w="6990" w:type="dxa"/>
          </w:tcPr>
          <w:p w:rsidR="00567C3E" w:rsidRPr="001534A8" w:rsidRDefault="00EA3D89" w:rsidP="00D32FA7">
            <w:pPr>
              <w:spacing w:before="40" w:after="40"/>
              <w:jc w:val="both"/>
              <w:rPr>
                <w:rFonts w:ascii="Garamond" w:hAnsi="Garamond"/>
                <w:sz w:val="20"/>
                <w:szCs w:val="20"/>
              </w:rPr>
            </w:pPr>
            <w:r w:rsidRPr="00EA3D89">
              <w:rPr>
                <w:rFonts w:ascii="Garamond" w:eastAsia="Calibri" w:hAnsi="Garamond" w:cs="Times New Roman"/>
                <w:color w:val="FF0000"/>
                <w:sz w:val="20"/>
                <w:szCs w:val="20"/>
              </w:rPr>
              <w:t xml:space="preserve">Rewitalizacji wymaga teren miasta (jednostka nr 6) są to ulice: Główna (od nr 1do 11 oraz 19,29a,31), Wąska, Hallera, Rynek, Kolejowa (nr od 1 do 17), Lipowa (od nr 1 do 2b), Słoneczna, Gen. Sikorskiego (nr 10,14,15,16),Urzędowa (nr 1,2,3,13,14), a także miejscowości tj. </w:t>
            </w:r>
            <w:proofErr w:type="spellStart"/>
            <w:r w:rsidRPr="00EA3D89">
              <w:rPr>
                <w:rFonts w:ascii="Garamond" w:eastAsia="Calibri" w:hAnsi="Garamond" w:cs="Times New Roman"/>
                <w:color w:val="FF0000"/>
                <w:sz w:val="20"/>
                <w:szCs w:val="20"/>
              </w:rPr>
              <w:t>Jabłonowo-Zamek</w:t>
            </w:r>
            <w:proofErr w:type="spellEnd"/>
            <w:r w:rsidRPr="00EA3D89">
              <w:rPr>
                <w:rFonts w:ascii="Garamond" w:eastAsia="Calibri" w:hAnsi="Garamond" w:cs="Times New Roman"/>
                <w:color w:val="FF0000"/>
                <w:sz w:val="20"/>
                <w:szCs w:val="20"/>
              </w:rPr>
              <w:t>, Szczepanki, Kamień. W obszarze miejskim brak jest miejsca zagospodarowania przestrzeni publicznej.</w:t>
            </w:r>
            <w:r w:rsidRPr="00EA3D89">
              <w:rPr>
                <w:rFonts w:ascii="Garamond" w:hAnsi="Garamond"/>
                <w:color w:val="FF0000"/>
                <w:sz w:val="20"/>
                <w:szCs w:val="20"/>
              </w:rPr>
              <w:t xml:space="preserve"> </w:t>
            </w:r>
            <w:r w:rsidRPr="00EA3D89">
              <w:rPr>
                <w:rFonts w:ascii="Garamond" w:eastAsia="Calibri" w:hAnsi="Garamond" w:cs="Times New Roman"/>
                <w:color w:val="FF0000"/>
                <w:sz w:val="20"/>
                <w:szCs w:val="20"/>
              </w:rPr>
              <w:t>Obszary te, w porównaniu z innymi rejonami Miasta i Gminy, wyróżniają się negatywnymi wskaźnikami pod względem bezrobocia, ubóstwa, wykluczenia społecznego. Objęcie ludzi zamieszkałych na tych terenach rewitalizacją społeczną spowodowałoby poprawę jakości ich życia oraz podniesienie warunków życia mieszkańców tych obszarów.</w:t>
            </w:r>
          </w:p>
        </w:tc>
        <w:tc>
          <w:tcPr>
            <w:tcW w:w="675" w:type="dxa"/>
            <w:vAlign w:val="center"/>
          </w:tcPr>
          <w:p w:rsidR="00567C3E" w:rsidRPr="001534A8" w:rsidRDefault="00567C3E" w:rsidP="00D32FA7">
            <w:pPr>
              <w:spacing w:before="40" w:after="40"/>
              <w:jc w:val="center"/>
              <w:rPr>
                <w:rFonts w:ascii="Garamond" w:eastAsia="Times New Roman" w:hAnsi="Garamond" w:cs="Arial"/>
                <w:sz w:val="20"/>
                <w:szCs w:val="20"/>
              </w:rPr>
            </w:pPr>
            <w:r w:rsidRPr="001534A8">
              <w:rPr>
                <w:rFonts w:ascii="Garamond" w:eastAsia="Times New Roman" w:hAnsi="Garamond" w:cs="Arial"/>
                <w:sz w:val="20"/>
                <w:szCs w:val="20"/>
              </w:rPr>
              <w:t>9b/9d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Osiek</w:t>
            </w:r>
          </w:p>
        </w:tc>
        <w:tc>
          <w:tcPr>
            <w:tcW w:w="6990"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Brak</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Świedziebnia</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Obszarem wymagającym rewitalizacji jest Świedziebnia. Wymagana w tym zakresie jest także odnowa zespołu podworskiego z parkiem z przeznaczeniem na cele </w:t>
            </w:r>
            <w:proofErr w:type="spellStart"/>
            <w:r w:rsidRPr="001534A8">
              <w:rPr>
                <w:rFonts w:ascii="Garamond" w:hAnsi="Garamond"/>
                <w:sz w:val="20"/>
                <w:szCs w:val="20"/>
              </w:rPr>
              <w:t>historyczno</w:t>
            </w:r>
            <w:proofErr w:type="spellEnd"/>
            <w:r w:rsidRPr="001534A8">
              <w:rPr>
                <w:rFonts w:ascii="Garamond" w:hAnsi="Garamond"/>
                <w:sz w:val="20"/>
                <w:szCs w:val="20"/>
              </w:rPr>
              <w:t xml:space="preserve"> – kulturalne. Działania te wpłynęłyby na rozwój tożsamości mieszkańców i zachowanie dziedzictwa kulturowego, a także pozwoliły na zagospodarowanie i wypromowanie posiadanych zasobów naturalnych i kulturowych.</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r w:rsidR="00567C3E" w:rsidRPr="001534A8" w:rsidTr="00D32FA7">
        <w:tc>
          <w:tcPr>
            <w:tcW w:w="1623" w:type="dxa"/>
            <w:vAlign w:val="center"/>
          </w:tcPr>
          <w:p w:rsidR="00567C3E" w:rsidRPr="001534A8" w:rsidRDefault="00567C3E" w:rsidP="00D32FA7">
            <w:pPr>
              <w:spacing w:before="40" w:after="40"/>
              <w:rPr>
                <w:rFonts w:ascii="Garamond" w:hAnsi="Garamond" w:cs="Arial"/>
                <w:sz w:val="20"/>
                <w:szCs w:val="20"/>
              </w:rPr>
            </w:pPr>
            <w:r w:rsidRPr="001534A8">
              <w:rPr>
                <w:rFonts w:ascii="Garamond" w:hAnsi="Garamond" w:cs="Arial"/>
                <w:sz w:val="20"/>
                <w:szCs w:val="20"/>
              </w:rPr>
              <w:t>Zbiczno</w:t>
            </w:r>
          </w:p>
        </w:tc>
        <w:tc>
          <w:tcPr>
            <w:tcW w:w="6990"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Rewitalizacji wymaga miejscowość Sumówko. W obszarze tym brak jest zagospodarowanej przestrzeni publicznej, brak miejsca do wspólnych spotkań.</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Mieszkania komunalne zajmują na ogół osoby ubogie, często korzystające pomocy społecznej i niezaradne życiowo. Istnieje tam dwór, dawna szkoła , obecnie funkcjonująca jako budynek komunalny. Obiekt ten znajduje się w bardzo złym stanie technicznym.</w:t>
            </w:r>
          </w:p>
        </w:tc>
        <w:tc>
          <w:tcPr>
            <w:tcW w:w="675" w:type="dxa"/>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9d</w:t>
            </w:r>
          </w:p>
        </w:tc>
      </w:tr>
    </w:tbl>
    <w:p w:rsidR="00567C3E" w:rsidRPr="001534A8" w:rsidRDefault="00567C3E" w:rsidP="00567C3E">
      <w:pPr>
        <w:spacing w:before="120" w:after="40"/>
        <w:rPr>
          <w:rFonts w:ascii="Garamond" w:hAnsi="Garamond"/>
          <w:sz w:val="20"/>
        </w:rPr>
      </w:pPr>
      <w:r w:rsidRPr="001534A8">
        <w:rPr>
          <w:rFonts w:ascii="Garamond" w:hAnsi="Garamond"/>
          <w:sz w:val="20"/>
        </w:rPr>
        <w:t>*Priorytet inwestycyjny w ramach RPO WKP na lata 2014-2020</w:t>
      </w:r>
    </w:p>
    <w:p w:rsidR="00567C3E" w:rsidRPr="001534A8" w:rsidRDefault="00567C3E" w:rsidP="00567C3E">
      <w:pPr>
        <w:spacing w:before="120" w:after="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rPr>
          <w:rFonts w:ascii="Garamond" w:hAnsi="Garamond" w:cs="Arial"/>
          <w:b/>
          <w:color w:val="FFFFFF" w:themeColor="background1"/>
          <w:sz w:val="24"/>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b/>
          <w:color w:val="FFFFFF" w:themeColor="background1"/>
          <w:sz w:val="24"/>
        </w:rPr>
        <w:lastRenderedPageBreak/>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4" w:name="_Toc415228162"/>
            <w:bookmarkStart w:id="65" w:name="_Toc419705522"/>
            <w:r w:rsidRPr="001534A8">
              <w:lastRenderedPageBreak/>
              <w:t>Środowisko przyrodnicze</w:t>
            </w:r>
            <w:bookmarkEnd w:id="64"/>
            <w:bookmarkEnd w:id="65"/>
          </w:p>
        </w:tc>
        <w:tc>
          <w:tcPr>
            <w:tcW w:w="4606" w:type="dxa"/>
            <w:vAlign w:val="center"/>
          </w:tcPr>
          <w:p w:rsidR="00567C3E" w:rsidRPr="001534A8" w:rsidRDefault="00567C3E" w:rsidP="00D32FA7">
            <w:pPr>
              <w:jc w:val="center"/>
              <w:rPr>
                <w:rFonts w:ascii="Garamond" w:hAnsi="Garamond" w:cs="Arial"/>
                <w:b/>
                <w:color w:val="824BB0"/>
                <w:sz w:val="24"/>
              </w:rPr>
            </w:pPr>
            <w:r w:rsidRPr="001534A8">
              <w:object w:dxaOrig="2370" w:dyaOrig="2235">
                <v:shape id="_x0000_i1032" type="#_x0000_t75" style="width:101.25pt;height:93.75pt" o:ole="">
                  <v:imagedata r:id="rId55" o:title=""/>
                </v:shape>
                <o:OLEObject Type="Embed" ProgID="PBrush" ShapeID="_x0000_i1032" DrawAspect="Content" ObjectID="_1592972280" r:id="rId56"/>
              </w:object>
            </w:r>
          </w:p>
        </w:tc>
      </w:tr>
    </w:tbl>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Lasy i wody</w:t>
      </w:r>
    </w:p>
    <w:p w:rsidR="00567C3E" w:rsidRPr="001534A8" w:rsidRDefault="00567C3E" w:rsidP="00567C3E">
      <w:pPr>
        <w:ind w:firstLine="708"/>
        <w:jc w:val="both"/>
        <w:rPr>
          <w:rFonts w:ascii="Garamond" w:hAnsi="Garamond" w:cs="Arial"/>
        </w:rPr>
      </w:pPr>
      <w:r w:rsidRPr="001534A8">
        <w:rPr>
          <w:rFonts w:ascii="Garamond" w:hAnsi="Garamond" w:cs="Arial"/>
        </w:rPr>
        <w:t xml:space="preserve">Teren ORSG w 21,5% pokrywają lasy. Największy udział gruntów leśnych występuje w gminie Górzno (51,5%) oraz Zbiczno (43,1%), gdzie występują liczne rezerwaty przyrody i parki krajobrazowe.  </w:t>
      </w:r>
    </w:p>
    <w:p w:rsidR="00567C3E" w:rsidRPr="001534A8" w:rsidRDefault="00567C3E" w:rsidP="00567C3E">
      <w:pPr>
        <w:pStyle w:val="W"/>
      </w:pPr>
    </w:p>
    <w:p w:rsidR="00567C3E" w:rsidRPr="001534A8" w:rsidRDefault="00567C3E" w:rsidP="00567C3E">
      <w:pPr>
        <w:pStyle w:val="W"/>
      </w:pPr>
      <w:bookmarkStart w:id="66" w:name="_Toc430868391"/>
      <w:r w:rsidRPr="001534A8">
        <w:t>Wykres 1</w:t>
      </w:r>
      <w:r>
        <w:t>1</w:t>
      </w:r>
      <w:r w:rsidRPr="001534A8">
        <w:t>. Udział lasów w obszarze gmin ORSG Powiatu Brodnickiego w 2013 r.</w:t>
      </w:r>
      <w:bookmarkEnd w:id="66"/>
    </w:p>
    <w:p w:rsidR="00567C3E" w:rsidRPr="001534A8" w:rsidRDefault="00567C3E" w:rsidP="00567C3E">
      <w:pPr>
        <w:spacing w:after="120"/>
        <w:jc w:val="center"/>
        <w:outlineLvl w:val="0"/>
        <w:rPr>
          <w:rFonts w:ascii="Garamond" w:hAnsi="Garamond" w:cs="Arial"/>
        </w:rPr>
      </w:pPr>
      <w:r w:rsidRPr="001534A8">
        <w:rPr>
          <w:rFonts w:ascii="Garamond" w:hAnsi="Garamond" w:cs="Arial"/>
          <w:noProof/>
        </w:rPr>
        <w:drawing>
          <wp:inline distT="0" distB="0" distL="0" distR="0" wp14:anchorId="08B2BA3F" wp14:editId="4B9FBED4">
            <wp:extent cx="4218317" cy="2449902"/>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7C3E" w:rsidRPr="001534A8" w:rsidRDefault="00567C3E" w:rsidP="00567C3E">
      <w:pPr>
        <w:spacing w:after="120"/>
        <w:jc w:val="both"/>
        <w:outlineLvl w:val="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GUS.</w:t>
      </w:r>
    </w:p>
    <w:p w:rsidR="00567C3E" w:rsidRPr="001534A8" w:rsidRDefault="00567C3E" w:rsidP="00567C3E">
      <w:pPr>
        <w:ind w:firstLine="708"/>
        <w:jc w:val="both"/>
        <w:rPr>
          <w:rFonts w:ascii="Garamond" w:hAnsi="Garamond" w:cs="Arial"/>
        </w:rPr>
      </w:pPr>
      <w:r w:rsidRPr="001534A8">
        <w:rPr>
          <w:rFonts w:ascii="Garamond" w:hAnsi="Garamond" w:cs="Arial"/>
        </w:rPr>
        <w:t xml:space="preserve">Pod względem hydrograficznym teren ORSG położony jest w dorzeczu Wisły i jej prawobrzeżnych dopływów: Skrwy, Drwęcy, Osy. Osią hydrograficzną ORSG jest Drwęca – najdłuższy prawobrzeżny dopływ dolnej Wisły. Przez obszar przepływa także Brynica, Górzanka, </w:t>
      </w:r>
      <w:proofErr w:type="spellStart"/>
      <w:r w:rsidRPr="001534A8">
        <w:rPr>
          <w:rFonts w:ascii="Garamond" w:hAnsi="Garamond" w:cs="Arial"/>
        </w:rPr>
        <w:t>Pissa</w:t>
      </w:r>
      <w:proofErr w:type="spellEnd"/>
      <w:r w:rsidRPr="001534A8">
        <w:rPr>
          <w:rFonts w:ascii="Garamond" w:hAnsi="Garamond" w:cs="Arial"/>
        </w:rPr>
        <w:t xml:space="preserve">, </w:t>
      </w:r>
      <w:proofErr w:type="spellStart"/>
      <w:r w:rsidRPr="001534A8">
        <w:rPr>
          <w:rFonts w:ascii="Garamond" w:hAnsi="Garamond" w:cs="Arial"/>
        </w:rPr>
        <w:t>Samionka</w:t>
      </w:r>
      <w:proofErr w:type="spellEnd"/>
      <w:r w:rsidRPr="001534A8">
        <w:rPr>
          <w:rFonts w:ascii="Garamond" w:hAnsi="Garamond" w:cs="Arial"/>
        </w:rPr>
        <w:t xml:space="preserve">, </w:t>
      </w:r>
      <w:proofErr w:type="spellStart"/>
      <w:r w:rsidRPr="001534A8">
        <w:rPr>
          <w:rFonts w:ascii="Garamond" w:hAnsi="Garamond" w:cs="Arial"/>
        </w:rPr>
        <w:t>Rypienica</w:t>
      </w:r>
      <w:proofErr w:type="spellEnd"/>
      <w:r w:rsidRPr="001534A8">
        <w:rPr>
          <w:rFonts w:ascii="Garamond" w:hAnsi="Garamond" w:cs="Arial"/>
        </w:rPr>
        <w:t xml:space="preserve">, </w:t>
      </w:r>
      <w:proofErr w:type="spellStart"/>
      <w:r w:rsidRPr="001534A8">
        <w:rPr>
          <w:rFonts w:ascii="Garamond" w:hAnsi="Garamond" w:cs="Arial"/>
        </w:rPr>
        <w:t>Skarlanka</w:t>
      </w:r>
      <w:proofErr w:type="spellEnd"/>
      <w:r w:rsidRPr="001534A8">
        <w:rPr>
          <w:rFonts w:ascii="Garamond" w:hAnsi="Garamond" w:cs="Arial"/>
        </w:rPr>
        <w:t xml:space="preserve">, </w:t>
      </w:r>
      <w:proofErr w:type="spellStart"/>
      <w:r w:rsidRPr="001534A8">
        <w:rPr>
          <w:rFonts w:ascii="Garamond" w:hAnsi="Garamond" w:cs="Arial"/>
        </w:rPr>
        <w:t>Cichówka</w:t>
      </w:r>
      <w:proofErr w:type="spellEnd"/>
      <w:r w:rsidRPr="001534A8">
        <w:rPr>
          <w:rFonts w:ascii="Garamond" w:hAnsi="Garamond" w:cs="Arial"/>
        </w:rPr>
        <w:t xml:space="preserve">, Struga Brodnicka oraz Lutryna. </w:t>
      </w:r>
    </w:p>
    <w:p w:rsidR="00567C3E" w:rsidRPr="001534A8" w:rsidRDefault="00567C3E" w:rsidP="00567C3E">
      <w:pPr>
        <w:ind w:firstLine="708"/>
        <w:jc w:val="both"/>
        <w:rPr>
          <w:rFonts w:ascii="Garamond" w:hAnsi="Garamond" w:cs="Arial"/>
        </w:rPr>
      </w:pPr>
      <w:r w:rsidRPr="001534A8">
        <w:rPr>
          <w:rFonts w:ascii="Garamond" w:hAnsi="Garamond" w:cs="Arial"/>
        </w:rPr>
        <w:t xml:space="preserve">Na terenie ORSG występuje ponad 100 jezior, które zajmują powierzchnię ponad 2,8 tys. ha. Największymi jeziorami są Bachotek (211 ha), Sośno (188 ha), </w:t>
      </w:r>
      <w:proofErr w:type="spellStart"/>
      <w:r w:rsidRPr="001534A8">
        <w:rPr>
          <w:rFonts w:ascii="Garamond" w:hAnsi="Garamond" w:cs="Arial"/>
        </w:rPr>
        <w:t>Płowęż</w:t>
      </w:r>
      <w:proofErr w:type="spellEnd"/>
      <w:r w:rsidRPr="001534A8">
        <w:rPr>
          <w:rFonts w:ascii="Garamond" w:hAnsi="Garamond" w:cs="Arial"/>
        </w:rPr>
        <w:t xml:space="preserve"> (174,2 ha), </w:t>
      </w:r>
      <w:proofErr w:type="spellStart"/>
      <w:r w:rsidRPr="001534A8">
        <w:rPr>
          <w:rFonts w:ascii="Garamond" w:hAnsi="Garamond" w:cs="Arial"/>
        </w:rPr>
        <w:t>Wądzyńskie</w:t>
      </w:r>
      <w:proofErr w:type="spellEnd"/>
      <w:r w:rsidRPr="001534A8">
        <w:rPr>
          <w:rFonts w:ascii="Garamond" w:hAnsi="Garamond" w:cs="Arial"/>
        </w:rPr>
        <w:t xml:space="preserve"> (170,4 ha), Głowińskie (130,5 ha), Zbiczno (128,9 ha), Ciche (110,8 ha), Wysokie Brodno (91,0 ha), Niskie Brodno (87,2 ha) i Leźno Wielkie (86,2 ha). Jeziora pełnią bardzo ważną funkcję ekologiczną i hydrologiczną. Są również podstawą gospo</w:t>
      </w:r>
      <w:r>
        <w:rPr>
          <w:rFonts w:ascii="Garamond" w:hAnsi="Garamond" w:cs="Arial"/>
        </w:rPr>
        <w:t>darki turystycznej i rybackiej P</w:t>
      </w:r>
      <w:r w:rsidRPr="001534A8">
        <w:rPr>
          <w:rFonts w:ascii="Garamond" w:hAnsi="Garamond" w:cs="Arial"/>
        </w:rPr>
        <w:t>owiatu</w:t>
      </w:r>
      <w:r w:rsidRPr="001534A8">
        <w:rPr>
          <w:rStyle w:val="Odwoanieprzypisudolnego"/>
          <w:rFonts w:ascii="Garamond" w:hAnsi="Garamond" w:cs="Arial"/>
        </w:rPr>
        <w:footnoteReference w:id="22"/>
      </w:r>
      <w:r w:rsidRPr="001534A8">
        <w:rPr>
          <w:rFonts w:ascii="Garamond" w:hAnsi="Garamond" w:cs="Arial"/>
        </w:rPr>
        <w:t>.</w:t>
      </w:r>
    </w:p>
    <w:p w:rsidR="00567C3E" w:rsidRPr="001534A8" w:rsidRDefault="00567C3E" w:rsidP="00567C3E">
      <w:pPr>
        <w:spacing w:after="120"/>
        <w:jc w:val="both"/>
        <w:outlineLvl w:val="0"/>
        <w:rPr>
          <w:rFonts w:ascii="Garamond" w:hAnsi="Garamond" w:cs="Arial"/>
          <w:b/>
          <w:color w:val="B1059D"/>
          <w:sz w:val="24"/>
        </w:rPr>
      </w:pPr>
      <w:r w:rsidRPr="001534A8">
        <w:rPr>
          <w:rFonts w:ascii="Garamond" w:hAnsi="Garamond" w:cs="Arial"/>
          <w:b/>
          <w:color w:val="B1059D"/>
          <w:sz w:val="24"/>
        </w:rPr>
        <w:t>Obszary chronione</w:t>
      </w:r>
    </w:p>
    <w:p w:rsidR="00567C3E" w:rsidRPr="001534A8" w:rsidRDefault="00567C3E" w:rsidP="00567C3E">
      <w:pPr>
        <w:spacing w:after="120"/>
        <w:ind w:firstLine="708"/>
        <w:jc w:val="both"/>
        <w:outlineLvl w:val="0"/>
        <w:rPr>
          <w:rFonts w:ascii="Garamond" w:hAnsi="Garamond" w:cs="Arial"/>
        </w:rPr>
      </w:pPr>
      <w:r w:rsidRPr="001534A8">
        <w:rPr>
          <w:rFonts w:ascii="Garamond" w:hAnsi="Garamond" w:cs="Arial"/>
        </w:rPr>
        <w:t xml:space="preserve">Najbardziej wartościowymi obiektami przyrodniczymi położonymi na terenie ORSG są Brodnicki Park Krajobrazowy i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Znajdują się tu też powstałe w latach 1958-2004 rezerwaty przyrody. Na terenie Brodnickiego Parku Krajobrazowego zlokalizowany jest Bachotek, Mieliwo, Okonek, Retno, </w:t>
      </w:r>
      <w:proofErr w:type="spellStart"/>
      <w:r w:rsidRPr="001534A8">
        <w:rPr>
          <w:rFonts w:ascii="Garamond" w:hAnsi="Garamond" w:cs="Arial"/>
        </w:rPr>
        <w:t>Stręszek</w:t>
      </w:r>
      <w:proofErr w:type="spellEnd"/>
      <w:r w:rsidRPr="001534A8">
        <w:rPr>
          <w:rFonts w:ascii="Garamond" w:hAnsi="Garamond" w:cs="Arial"/>
        </w:rPr>
        <w:t xml:space="preserve">, Żurawie Bagno, natomiast na obszarze </w:t>
      </w:r>
      <w:proofErr w:type="spellStart"/>
      <w:r w:rsidRPr="001534A8">
        <w:rPr>
          <w:rFonts w:ascii="Garamond" w:hAnsi="Garamond" w:cs="Arial"/>
        </w:rPr>
        <w:t>Górznieńsko</w:t>
      </w:r>
      <w:proofErr w:type="spellEnd"/>
      <w:r w:rsidRPr="001534A8">
        <w:rPr>
          <w:rFonts w:ascii="Garamond" w:hAnsi="Garamond" w:cs="Arial"/>
        </w:rPr>
        <w:t xml:space="preserve">-Lidzbarskiego Parku Krajobrazowego położony jest Czarny Bryńsk, Jar Brynicy, Ostrowy nad Brynicą, </w:t>
      </w:r>
      <w:r w:rsidRPr="001534A8">
        <w:rPr>
          <w:rFonts w:ascii="Garamond" w:hAnsi="Garamond" w:cs="Arial"/>
        </w:rPr>
        <w:lastRenderedPageBreak/>
        <w:t xml:space="preserve">Szumny Zdrój i Mszar Płociczno. Ponadto na terenie ORSG znajduje się rezerwat Rzeka Drwęca, Jar Grądowy Cielęta i Bagno Mostki oraz obszar chronionego krajobrazu Doliny Osy i </w:t>
      </w:r>
      <w:proofErr w:type="spellStart"/>
      <w:r w:rsidRPr="001534A8">
        <w:rPr>
          <w:rFonts w:ascii="Garamond" w:hAnsi="Garamond" w:cs="Arial"/>
        </w:rPr>
        <w:t>Gardęgi</w:t>
      </w:r>
      <w:proofErr w:type="spellEnd"/>
      <w:r w:rsidRPr="001534A8">
        <w:rPr>
          <w:rFonts w:ascii="Garamond" w:hAnsi="Garamond" w:cs="Arial"/>
        </w:rPr>
        <w:t>.</w:t>
      </w:r>
    </w:p>
    <w:p w:rsidR="00567C3E" w:rsidRPr="001534A8" w:rsidRDefault="00567C3E" w:rsidP="00567C3E">
      <w:pPr>
        <w:ind w:firstLine="708"/>
        <w:jc w:val="both"/>
        <w:rPr>
          <w:rFonts w:ascii="Garamond" w:hAnsi="Garamond" w:cs="Arial"/>
        </w:rPr>
      </w:pPr>
      <w:r w:rsidRPr="001534A8">
        <w:rPr>
          <w:rFonts w:ascii="Garamond" w:hAnsi="Garamond" w:cs="Arial"/>
        </w:rPr>
        <w:t xml:space="preserve">Szczególnie cenne ze względów naukowych, zabytkowych oraz kulturowych są pomniki przyrody, których na terenie ORSG jest łącznie 95. Największą ich liczbą może się pochwalić gm. Zbiczno, w której znajdują się 22 pomniki przyrody.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Obszary Natura 2000</w:t>
      </w:r>
    </w:p>
    <w:p w:rsidR="00567C3E" w:rsidRPr="001534A8" w:rsidRDefault="00567C3E" w:rsidP="00567C3E">
      <w:pPr>
        <w:ind w:firstLine="708"/>
        <w:jc w:val="both"/>
        <w:rPr>
          <w:rFonts w:ascii="Garamond" w:hAnsi="Garamond"/>
        </w:rPr>
      </w:pPr>
      <w:r w:rsidRPr="001534A8">
        <w:rPr>
          <w:rFonts w:ascii="Garamond" w:hAnsi="Garamond" w:cs="Arial"/>
        </w:rPr>
        <w:t xml:space="preserve">Obszary Natura 2000 rozmieszczone są na terenie wszystkich gmin ORSG, z wyjątkiem gminy Osiek. Największą powierzchnie zajmują tereny Doliny Drwęcy, która przebiega przez Bartniczkę, Bobrowo, Brzozie, gm. miejską i wiejską Brodnice oraz Zbiczno. Obszar ten jest chroniony ze względu na wyróżniający się krajobraz o zróżnicowanych ekosystemach oraz możliwość zaspokajania potrzeb związanych z turystyką i wypoczynkiem. Pozostałymi terenami zaliczanych do kategorii Natura 2000 znajdującymi się na ORSG są </w:t>
      </w:r>
      <w:r w:rsidRPr="001534A8">
        <w:rPr>
          <w:rFonts w:ascii="Garamond" w:hAnsi="Garamond"/>
        </w:rPr>
        <w:t xml:space="preserve">Ostoja Lidzbarska, Ostoja Brodnicka, Bagienna Dolina Drwęcy oraz Mszar Płociczno.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 xml:space="preserve">Walory turystyczne środowiska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Teren ORSG leży w granicach Pojezierza Chełmińsko-Dobrzyńskiego, Doliny Drwęcy i Pojezierza Brodnickiego. Na jego obszarze znajduje się Brodnicki Park Krajobrazowy oraz </w:t>
      </w:r>
      <w:proofErr w:type="spellStart"/>
      <w:r w:rsidRPr="001534A8">
        <w:rPr>
          <w:rFonts w:ascii="Garamond" w:hAnsi="Garamond" w:cs="Arial"/>
        </w:rPr>
        <w:t>Górznieńsko</w:t>
      </w:r>
      <w:proofErr w:type="spellEnd"/>
      <w:r w:rsidRPr="001534A8">
        <w:rPr>
          <w:rFonts w:ascii="Garamond" w:hAnsi="Garamond" w:cs="Arial"/>
        </w:rPr>
        <w:t xml:space="preserve">-Lidzbarski Park Krajobrazowy. Wyjątkowy krajobraz oraz bogata fauna i flora pozwoliły włączyć tereny Powiatu Brodnickiego do obszaru funkcjonalnego „Zielone Płuca Polski”. Walory estetyczne miejsca podnosi obecność licznych lasów i jezior.    </w:t>
      </w:r>
    </w:p>
    <w:p w:rsidR="00567C3E" w:rsidRPr="001534A8" w:rsidRDefault="00567C3E" w:rsidP="00567C3E">
      <w:pPr>
        <w:autoSpaceDE w:val="0"/>
        <w:autoSpaceDN w:val="0"/>
        <w:adjustRightInd w:val="0"/>
        <w:spacing w:after="120"/>
        <w:ind w:firstLine="708"/>
        <w:jc w:val="both"/>
        <w:rPr>
          <w:rFonts w:ascii="Garamond" w:hAnsi="Garamond" w:cs="Arial"/>
          <w:szCs w:val="20"/>
        </w:rPr>
      </w:pPr>
      <w:r>
        <w:rPr>
          <w:rFonts w:ascii="Garamond" w:hAnsi="Garamond" w:cs="TimesNewRomanPSMT"/>
        </w:rPr>
        <w:t>Na obszarze P</w:t>
      </w:r>
      <w:r w:rsidRPr="001534A8">
        <w:rPr>
          <w:rFonts w:ascii="Garamond" w:hAnsi="Garamond" w:cs="TimesNewRomanPSMT"/>
        </w:rPr>
        <w:t xml:space="preserve">owiatu znajdują się liczne szlaki turystyczne (piesze, rowerowe, kajakowe, motorowe, pielgrzymkowe) oraz ścieżki przyrodniczo-dydaktyczne. </w:t>
      </w:r>
      <w:r w:rsidRPr="001534A8">
        <w:rPr>
          <w:rFonts w:ascii="Garamond" w:hAnsi="Garamond" w:cs="Arial"/>
          <w:szCs w:val="20"/>
        </w:rPr>
        <w:t xml:space="preserve">Do najliczniej uczęszczanych szlaków należą: </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szlak żółty (Toruń – Brodnica – Radomno)</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niebieski (Górzno – Gutowo – Bachotek)</w:t>
      </w:r>
    </w:p>
    <w:p w:rsidR="00567C3E" w:rsidRPr="001534A8" w:rsidRDefault="00567C3E" w:rsidP="00567C3E">
      <w:pPr>
        <w:pStyle w:val="Akapitzlist"/>
        <w:numPr>
          <w:ilvl w:val="0"/>
          <w:numId w:val="7"/>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zielony (Górzno – Tama Brodzka – </w:t>
      </w:r>
      <w:proofErr w:type="spellStart"/>
      <w:r w:rsidRPr="001534A8">
        <w:rPr>
          <w:rFonts w:ascii="Garamond" w:hAnsi="Garamond" w:cs="Arial"/>
          <w:szCs w:val="20"/>
        </w:rPr>
        <w:t>Łąkorz</w:t>
      </w:r>
      <w:proofErr w:type="spellEnd"/>
      <w:r w:rsidRPr="001534A8">
        <w:rPr>
          <w:rFonts w:ascii="Garamond" w:hAnsi="Garamond" w:cs="Arial"/>
          <w:szCs w:val="20"/>
        </w:rPr>
        <w:t>)</w:t>
      </w:r>
    </w:p>
    <w:p w:rsidR="00567C3E" w:rsidRPr="001534A8" w:rsidRDefault="00567C3E" w:rsidP="00567C3E">
      <w:pPr>
        <w:pStyle w:val="Akapitzlist"/>
        <w:numPr>
          <w:ilvl w:val="0"/>
          <w:numId w:val="7"/>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czerwony (Brodnica – Bobrowo – Płowężek – Łasin)</w:t>
      </w:r>
    </w:p>
    <w:p w:rsidR="00567C3E" w:rsidRPr="001534A8" w:rsidRDefault="00567C3E" w:rsidP="00567C3E">
      <w:pPr>
        <w:autoSpaceDE w:val="0"/>
        <w:autoSpaceDN w:val="0"/>
        <w:adjustRightInd w:val="0"/>
        <w:spacing w:after="120"/>
        <w:ind w:firstLine="708"/>
        <w:jc w:val="both"/>
        <w:rPr>
          <w:rFonts w:ascii="Garamond" w:hAnsi="Garamond" w:cs="Arial"/>
          <w:szCs w:val="20"/>
        </w:rPr>
      </w:pPr>
      <w:r w:rsidRPr="001534A8">
        <w:rPr>
          <w:rFonts w:ascii="Garamond" w:hAnsi="Garamond" w:cs="Arial"/>
          <w:szCs w:val="20"/>
        </w:rPr>
        <w:t xml:space="preserve">Szlaki kajakowe to przede wszystkim rzeka Drwęca, na której corocznie odbywa się międzynarodowy spływ kajakowy oraz </w:t>
      </w:r>
      <w:proofErr w:type="spellStart"/>
      <w:r w:rsidRPr="001534A8">
        <w:rPr>
          <w:rFonts w:ascii="Garamond" w:hAnsi="Garamond" w:cs="Arial"/>
          <w:szCs w:val="20"/>
        </w:rPr>
        <w:t>Skarlanka</w:t>
      </w:r>
      <w:proofErr w:type="spellEnd"/>
      <w:r w:rsidRPr="001534A8">
        <w:rPr>
          <w:rFonts w:ascii="Garamond" w:hAnsi="Garamond" w:cs="Arial"/>
          <w:szCs w:val="20"/>
        </w:rPr>
        <w:t xml:space="preserve"> i </w:t>
      </w:r>
      <w:proofErr w:type="spellStart"/>
      <w:r w:rsidRPr="001534A8">
        <w:rPr>
          <w:rFonts w:ascii="Garamond" w:hAnsi="Garamond" w:cs="Arial"/>
          <w:szCs w:val="20"/>
        </w:rPr>
        <w:t>Cichówka</w:t>
      </w:r>
      <w:proofErr w:type="spellEnd"/>
      <w:r w:rsidRPr="001534A8">
        <w:rPr>
          <w:rFonts w:ascii="Garamond" w:hAnsi="Garamond" w:cs="Arial"/>
          <w:szCs w:val="20"/>
        </w:rPr>
        <w:t>, jak również Struga Brodnicka i Brynica.</w:t>
      </w:r>
    </w:p>
    <w:p w:rsidR="00567C3E" w:rsidRPr="001534A8" w:rsidRDefault="00567C3E" w:rsidP="00567C3E">
      <w:pPr>
        <w:autoSpaceDE w:val="0"/>
        <w:autoSpaceDN w:val="0"/>
        <w:adjustRightInd w:val="0"/>
        <w:spacing w:after="120"/>
        <w:jc w:val="both"/>
        <w:rPr>
          <w:rFonts w:ascii="Garamond" w:hAnsi="Garamond" w:cs="Arial"/>
          <w:szCs w:val="20"/>
        </w:rPr>
      </w:pPr>
      <w:r>
        <w:rPr>
          <w:rFonts w:ascii="Garamond" w:hAnsi="Garamond" w:cs="Arial"/>
          <w:szCs w:val="20"/>
        </w:rPr>
        <w:t>Na terenie P</w:t>
      </w:r>
      <w:r w:rsidRPr="001534A8">
        <w:rPr>
          <w:rFonts w:ascii="Garamond" w:hAnsi="Garamond" w:cs="Arial"/>
          <w:szCs w:val="20"/>
        </w:rPr>
        <w:t>owiatu wyznaczono liczne ścieżki przyrodniczo-dydaktyczne. Do najbardziej znanych należą:</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„Zarośle” na terenie leśnictwa Zarośle</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„Bachotek” – kajakowa </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„Bobrowiska” w </w:t>
      </w:r>
      <w:proofErr w:type="spellStart"/>
      <w:r w:rsidRPr="001534A8">
        <w:rPr>
          <w:rFonts w:ascii="Garamond" w:hAnsi="Garamond" w:cs="Arial"/>
          <w:szCs w:val="20"/>
        </w:rPr>
        <w:t>Grzmięcy</w:t>
      </w:r>
      <w:proofErr w:type="spellEnd"/>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„Grabiny </w:t>
      </w:r>
      <w:proofErr w:type="spellStart"/>
      <w:r w:rsidRPr="001534A8">
        <w:rPr>
          <w:rFonts w:ascii="Garamond" w:hAnsi="Garamond" w:cs="Arial"/>
          <w:szCs w:val="20"/>
        </w:rPr>
        <w:t>Łąkorz</w:t>
      </w:r>
      <w:proofErr w:type="spellEnd"/>
      <w:r w:rsidRPr="001534A8">
        <w:rPr>
          <w:rFonts w:ascii="Garamond" w:hAnsi="Garamond" w:cs="Arial"/>
          <w:szCs w:val="20"/>
        </w:rPr>
        <w:t>” w leśnictwie Grabiny</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„Szumny Zdrój” w leśnictwie Górzno</w:t>
      </w:r>
    </w:p>
    <w:p w:rsidR="00567C3E" w:rsidRPr="001534A8" w:rsidRDefault="00567C3E" w:rsidP="00567C3E">
      <w:pPr>
        <w:pStyle w:val="Akapitzlist"/>
        <w:numPr>
          <w:ilvl w:val="0"/>
          <w:numId w:val="8"/>
        </w:numPr>
        <w:autoSpaceDE w:val="0"/>
        <w:autoSpaceDN w:val="0"/>
        <w:adjustRightInd w:val="0"/>
        <w:spacing w:after="0"/>
        <w:jc w:val="both"/>
        <w:rPr>
          <w:rFonts w:ascii="Garamond" w:hAnsi="Garamond" w:cs="Arial"/>
          <w:szCs w:val="20"/>
        </w:rPr>
      </w:pPr>
      <w:r w:rsidRPr="001534A8">
        <w:rPr>
          <w:rFonts w:ascii="Garamond" w:hAnsi="Garamond" w:cs="Arial"/>
          <w:szCs w:val="20"/>
        </w:rPr>
        <w:t xml:space="preserve">„Retno” w leśnictwie </w:t>
      </w:r>
      <w:proofErr w:type="spellStart"/>
      <w:r w:rsidRPr="001534A8">
        <w:rPr>
          <w:rFonts w:ascii="Garamond" w:hAnsi="Garamond" w:cs="Arial"/>
          <w:szCs w:val="20"/>
        </w:rPr>
        <w:t>Tegowiec</w:t>
      </w:r>
      <w:proofErr w:type="spellEnd"/>
    </w:p>
    <w:p w:rsidR="00567C3E" w:rsidRPr="001534A8" w:rsidRDefault="00567C3E" w:rsidP="00567C3E">
      <w:pPr>
        <w:pStyle w:val="Akapitzlist"/>
        <w:numPr>
          <w:ilvl w:val="0"/>
          <w:numId w:val="8"/>
        </w:numPr>
        <w:autoSpaceDE w:val="0"/>
        <w:autoSpaceDN w:val="0"/>
        <w:adjustRightInd w:val="0"/>
        <w:spacing w:after="120"/>
        <w:ind w:left="714" w:hanging="357"/>
        <w:jc w:val="both"/>
        <w:rPr>
          <w:rFonts w:ascii="Garamond" w:hAnsi="Garamond" w:cs="Arial"/>
          <w:szCs w:val="20"/>
        </w:rPr>
      </w:pPr>
      <w:r w:rsidRPr="001534A8">
        <w:rPr>
          <w:rFonts w:ascii="Garamond" w:hAnsi="Garamond" w:cs="Arial"/>
          <w:szCs w:val="20"/>
        </w:rPr>
        <w:t>„Na bindugę” w leśnictwie Długi Most</w:t>
      </w:r>
    </w:p>
    <w:p w:rsidR="00567C3E" w:rsidRDefault="00567C3E" w:rsidP="00567C3E">
      <w:pPr>
        <w:spacing w:after="120"/>
        <w:ind w:firstLine="709"/>
        <w:jc w:val="both"/>
        <w:rPr>
          <w:rFonts w:ascii="Garamond" w:hAnsi="Garamond" w:cs="Arial"/>
        </w:rPr>
      </w:pPr>
      <w:r w:rsidRPr="001534A8">
        <w:rPr>
          <w:rFonts w:ascii="Garamond" w:hAnsi="Garamond" w:cs="Arial"/>
        </w:rPr>
        <w:t>Infrastruktura turystyczna obszaru obejmuje bazę noclegową (tj. ośrodki wcz</w:t>
      </w:r>
      <w:r>
        <w:rPr>
          <w:rFonts w:ascii="Garamond" w:hAnsi="Garamond" w:cs="Arial"/>
        </w:rPr>
        <w:t>asowo-wypoczynkowe, pensjonaty,</w:t>
      </w:r>
      <w:r w:rsidRPr="001534A8">
        <w:rPr>
          <w:rFonts w:ascii="Garamond" w:hAnsi="Garamond" w:cs="Arial"/>
        </w:rPr>
        <w:t xml:space="preserve"> hotele</w:t>
      </w:r>
      <w:r>
        <w:rPr>
          <w:rFonts w:ascii="Garamond" w:hAnsi="Garamond" w:cs="Arial"/>
        </w:rPr>
        <w:t xml:space="preserve"> i gospodarstwa agroturystyczne</w:t>
      </w:r>
      <w:r w:rsidRPr="001534A8">
        <w:rPr>
          <w:rFonts w:ascii="Garamond" w:hAnsi="Garamond" w:cs="Arial"/>
        </w:rPr>
        <w:t xml:space="preserve">), obiekty gastronomiczne oraz urządzenia sportowo-rekreacyjne. </w:t>
      </w:r>
    </w:p>
    <w:p w:rsidR="00567C3E" w:rsidRPr="001534A8" w:rsidRDefault="00567C3E" w:rsidP="00567C3E">
      <w:pPr>
        <w:spacing w:after="120"/>
        <w:ind w:firstLine="708"/>
        <w:jc w:val="both"/>
        <w:rPr>
          <w:rFonts w:ascii="Garamond" w:hAnsi="Garamond" w:cs="Arial"/>
        </w:rPr>
      </w:pPr>
      <w:r w:rsidRPr="00CC0604">
        <w:rPr>
          <w:rFonts w:ascii="Garamond" w:hAnsi="Garamond" w:cs="Arial"/>
        </w:rPr>
        <w:t xml:space="preserve">Powiat brodnicki leży w zasięgu pojezierza brodnickiego cechującego się dużym potencjałem przyrodniczym. Jego wykorzystanie turystyczne jest różnorodne, brakuje jednak skonkretyzowanego planu </w:t>
      </w:r>
      <w:r w:rsidRPr="00CC0604">
        <w:rPr>
          <w:rFonts w:ascii="Garamond" w:hAnsi="Garamond" w:cs="Arial"/>
        </w:rPr>
        <w:lastRenderedPageBreak/>
        <w:t>na podstawie, którego można by prowadzić zrównoważony rozwój sektora turystyki. Obszar ten jest ważną częścią gospodarki regionu, a także wyznacznikiem jej konkurencyjności. Wskazanie głównych kierunków rozwoju sektora turystyki umożliwiłoby pełniejsze wykorzystanie walorów przyrodniczych terenu ORSG, a także wpłynęłoby pozytywnie na podniesienie konkurencyjności gospodarki w regionie. W związku z powyższym wskazane byłoby opracowanie programu rozwoju turystyki, który pomógłby aktywizować turystykę i stać si</w:t>
      </w:r>
      <w:r>
        <w:rPr>
          <w:rFonts w:ascii="Garamond" w:hAnsi="Garamond" w:cs="Arial"/>
        </w:rPr>
        <w:t>ę jej ważną gałęzią gospodarki P</w:t>
      </w:r>
      <w:r w:rsidRPr="00CC0604">
        <w:rPr>
          <w:rFonts w:ascii="Garamond" w:hAnsi="Garamond" w:cs="Arial"/>
        </w:rPr>
        <w:t xml:space="preserve">owiatu </w:t>
      </w:r>
      <w:r>
        <w:rPr>
          <w:rFonts w:ascii="Garamond" w:hAnsi="Garamond" w:cs="Arial"/>
        </w:rPr>
        <w:t>B</w:t>
      </w:r>
      <w:r w:rsidRPr="00CC0604">
        <w:rPr>
          <w:rFonts w:ascii="Garamond" w:hAnsi="Garamond" w:cs="Arial"/>
        </w:rPr>
        <w:t>rodnickiego.</w:t>
      </w:r>
      <w:r w:rsidRPr="001534A8">
        <w:rPr>
          <w:rFonts w:ascii="Garamond" w:hAnsi="Garamond" w:cs="Arial"/>
        </w:rPr>
        <w:t xml:space="preserve">  </w:t>
      </w:r>
    </w:p>
    <w:p w:rsidR="00567C3E" w:rsidRPr="001534A8" w:rsidRDefault="00567C3E" w:rsidP="00567C3E">
      <w:pPr>
        <w:rPr>
          <w:rFonts w:ascii="Garamond" w:hAnsi="Garamond" w:cs="Arial"/>
          <w:b/>
          <w:color w:val="B1059D"/>
          <w:sz w:val="24"/>
        </w:rPr>
      </w:pPr>
      <w:r w:rsidRPr="001534A8">
        <w:rPr>
          <w:rFonts w:ascii="Garamond" w:hAnsi="Garamond" w:cs="Arial"/>
          <w:b/>
          <w:color w:val="B1059D"/>
          <w:sz w:val="24"/>
        </w:rPr>
        <w:t>Ścieżki rowerowe</w:t>
      </w:r>
    </w:p>
    <w:p w:rsidR="00567C3E" w:rsidRPr="001534A8" w:rsidRDefault="00567C3E" w:rsidP="00567C3E">
      <w:pPr>
        <w:spacing w:after="120"/>
        <w:ind w:firstLine="708"/>
        <w:jc w:val="both"/>
        <w:rPr>
          <w:rFonts w:ascii="Garamond" w:eastAsia="Calibri" w:hAnsi="Garamond" w:cs="Times New Roman"/>
        </w:rPr>
      </w:pPr>
      <w:r w:rsidRPr="001534A8">
        <w:rPr>
          <w:rFonts w:ascii="Garamond" w:eastAsia="Calibri" w:hAnsi="Garamond" w:cs="Times New Roman"/>
        </w:rPr>
        <w:t xml:space="preserve">Długość ścieżek rowerowych na terenie ORSG Powiatu Brodnickiego jest niewystarczająca. Każdego dnia mieszkańcy terenów podmiejskich dojeżdżają do zakładów pracy, szkół czy zakładów opieki lekarskiej znajdujących się w miastach – Brodnicy, Górznie i Jabłonowie Pomorskim. W celu zwiększenia bezpieczeństwa pieszych i rowerzystów, a także podróżujących samochodami niezbędna jest budowa ścieżek pieszo-rowerowych biegnących przy trasach głównych dróg dojazdowych do miast. Inwestycje w infrastrukturę rowerową mogą zwiększyć ilość osób przemieszczających się tym środkiem komunikacji. Wpłynie to pozytywnie na środowisko, gdyż zmniejszy się jego zanieczyszczenie. Powstanie szlaków pieszych i rowerowych spowoduje także rozwój turystyki na obszarze </w:t>
      </w:r>
      <w:r>
        <w:rPr>
          <w:rFonts w:ascii="Garamond" w:eastAsia="Calibri" w:hAnsi="Garamond" w:cs="Times New Roman"/>
        </w:rPr>
        <w:t>P</w:t>
      </w:r>
      <w:r w:rsidRPr="001534A8">
        <w:rPr>
          <w:rFonts w:ascii="Garamond" w:eastAsia="Calibri" w:hAnsi="Garamond" w:cs="Times New Roman"/>
        </w:rPr>
        <w:t xml:space="preserve">owiatu </w:t>
      </w:r>
      <w:r>
        <w:rPr>
          <w:rFonts w:ascii="Garamond" w:eastAsia="Calibri" w:hAnsi="Garamond" w:cs="Times New Roman"/>
        </w:rPr>
        <w:t>B</w:t>
      </w:r>
      <w:r w:rsidRPr="001534A8">
        <w:rPr>
          <w:rFonts w:ascii="Garamond" w:eastAsia="Calibri" w:hAnsi="Garamond" w:cs="Times New Roman"/>
        </w:rPr>
        <w:t xml:space="preserve">rodnickiego.  </w:t>
      </w:r>
    </w:p>
    <w:p w:rsidR="00567C3E" w:rsidRPr="001534A8" w:rsidRDefault="00567C3E" w:rsidP="00567C3E">
      <w:pPr>
        <w:ind w:firstLine="708"/>
        <w:jc w:val="both"/>
        <w:rPr>
          <w:rFonts w:ascii="Garamond" w:eastAsia="Calibri" w:hAnsi="Garamond" w:cs="Times New Roman"/>
        </w:rPr>
      </w:pPr>
      <w:r w:rsidRPr="001534A8">
        <w:rPr>
          <w:rFonts w:ascii="Garamond" w:eastAsia="Calibri" w:hAnsi="Garamond" w:cs="Times New Roman"/>
        </w:rPr>
        <w:t xml:space="preserve">Wszystkie Gminy ORSG zidentyfikowały potrzeby w zakresie budowy nowych ścieżek rowerowych. </w:t>
      </w:r>
      <w:r w:rsidRPr="001534A8">
        <w:rPr>
          <w:rFonts w:ascii="Garamond" w:eastAsia="Calibri" w:hAnsi="Garamond" w:cs="Times New Roman"/>
          <w:b/>
        </w:rPr>
        <w:t>Szczegółowo zostały one opisane w Załączniku nr 12 do Strategii.</w:t>
      </w:r>
      <w:r w:rsidRPr="001534A8">
        <w:rPr>
          <w:rFonts w:ascii="Garamond" w:eastAsia="Calibri" w:hAnsi="Garamond" w:cs="Times New Roman"/>
        </w:rPr>
        <w:t xml:space="preserve"> </w:t>
      </w:r>
    </w:p>
    <w:p w:rsidR="00567C3E" w:rsidRPr="001534A8" w:rsidRDefault="00567C3E" w:rsidP="00567C3E">
      <w:pPr>
        <w:pStyle w:val="T"/>
      </w:pPr>
      <w:bookmarkStart w:id="67" w:name="_Toc430872010"/>
      <w:r w:rsidRPr="001534A8">
        <w:t xml:space="preserve">Tabela </w:t>
      </w:r>
      <w:r>
        <w:t>28</w:t>
      </w:r>
      <w:r w:rsidRPr="001534A8">
        <w:t>. Długość ścieżek rowerowych na terenie ORSG Powiatu Brodnickiego w 2015 r.</w:t>
      </w:r>
      <w:bookmarkEnd w:id="67"/>
      <w:r w:rsidRPr="001534A8">
        <w:t xml:space="preserve"> </w:t>
      </w:r>
    </w:p>
    <w:tbl>
      <w:tblPr>
        <w:tblStyle w:val="Tabela-Siatka"/>
        <w:tblW w:w="1871" w:type="pct"/>
        <w:jc w:val="center"/>
        <w:tblLook w:val="00A0" w:firstRow="1" w:lastRow="0" w:firstColumn="1" w:lastColumn="0" w:noHBand="0" w:noVBand="0"/>
      </w:tblPr>
      <w:tblGrid>
        <w:gridCol w:w="1997"/>
        <w:gridCol w:w="1479"/>
      </w:tblGrid>
      <w:tr w:rsidR="00567C3E" w:rsidRPr="001534A8" w:rsidTr="00D32FA7">
        <w:trPr>
          <w:trHeight w:val="489"/>
          <w:jc w:val="center"/>
        </w:trPr>
        <w:tc>
          <w:tcPr>
            <w:tcW w:w="2872" w:type="pct"/>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s="Arial"/>
                <w:bCs/>
                <w:color w:val="FFFFFF"/>
                <w:sz w:val="20"/>
                <w:szCs w:val="20"/>
              </w:rPr>
            </w:pPr>
            <w:r w:rsidRPr="001534A8">
              <w:rPr>
                <w:rFonts w:ascii="Garamond" w:hAnsi="Garamond"/>
                <w:color w:val="FFFFFF" w:themeColor="background1"/>
                <w:sz w:val="20"/>
                <w:szCs w:val="20"/>
              </w:rPr>
              <w:t>Jednostka terytorialna</w:t>
            </w:r>
          </w:p>
        </w:tc>
        <w:tc>
          <w:tcPr>
            <w:tcW w:w="2128" w:type="pct"/>
            <w:tcBorders>
              <w:top w:val="single" w:sz="4" w:space="0" w:color="824BB0"/>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Długość ścieżek rowerowych w km</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Bartniczka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Bobrowo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g.m</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3,9</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Brodnica </w:t>
            </w:r>
            <w:proofErr w:type="spellStart"/>
            <w:r w:rsidRPr="001534A8">
              <w:rPr>
                <w:rFonts w:ascii="Garamond" w:hAnsi="Garamond"/>
                <w:sz w:val="20"/>
                <w:szCs w:val="20"/>
              </w:rPr>
              <w:t>g.w</w:t>
            </w:r>
            <w:proofErr w:type="spellEnd"/>
            <w:r w:rsidRPr="001534A8">
              <w:rPr>
                <w:rFonts w:ascii="Garamond" w:hAnsi="Garamond"/>
                <w:sz w:val="20"/>
                <w:szCs w:val="20"/>
              </w:rPr>
              <w:t>.</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0 </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Brzozie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Górzno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Jabłonowo Pomorskie</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Osiek</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Świedziebnia</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0</w:t>
            </w:r>
          </w:p>
        </w:tc>
      </w:tr>
      <w:tr w:rsidR="00567C3E" w:rsidRPr="001534A8" w:rsidTr="00D32FA7">
        <w:trPr>
          <w:trHeight w:val="227"/>
          <w:jc w:val="center"/>
        </w:trPr>
        <w:tc>
          <w:tcPr>
            <w:tcW w:w="2872"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Zbiczno</w:t>
            </w:r>
          </w:p>
        </w:tc>
        <w:tc>
          <w:tcPr>
            <w:tcW w:w="2128"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1,3</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Edukacja ekologiczna</w:t>
      </w:r>
    </w:p>
    <w:p w:rsidR="00567C3E" w:rsidRPr="001534A8" w:rsidRDefault="00567C3E" w:rsidP="00567C3E">
      <w:pPr>
        <w:spacing w:after="120"/>
        <w:jc w:val="both"/>
        <w:rPr>
          <w:rFonts w:ascii="Garamond" w:hAnsi="Garamond" w:cs="Arial"/>
        </w:rPr>
      </w:pPr>
      <w:r w:rsidRPr="001534A8">
        <w:rPr>
          <w:rFonts w:ascii="Garamond" w:hAnsi="Garamond" w:cs="Arial"/>
        </w:rPr>
        <w:t xml:space="preserve">Na ternie ORSG Powiatu Brodnickiego edukacja ekologiczna prowadzona jest za pośrednictwem: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Centrum Edukacji Ekologicznej w Brodnicy – można tam obejrzeć, wraz z przewodnikiem, wystawę, której celem jest ukazanie miejsca człowieka jako gatunku dominującego w szeroko rozumianym środowisku przyrodniczym oraz roli rozwoju cywilizacyjnego w charakterze eksploatacji środowiska </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 xml:space="preserve">Brodnickiego Towarzystwa Przyrodniczego (BTP) – jest organizacją pozarządową, dobrowolnym zrzeszeniem, skupiającym ludzi, których podstawowym celem jest badanie i ochrona zasobów przyrodniczych, propagowanie idei ochrony środowiska naturalnego oraz rozwijanie świadomości </w:t>
      </w:r>
      <w:r w:rsidRPr="001534A8">
        <w:rPr>
          <w:rFonts w:ascii="Garamond" w:hAnsi="Garamond" w:cs="Arial"/>
        </w:rPr>
        <w:lastRenderedPageBreak/>
        <w:t>ekologicznej społeczeństwa w regionie. BTP jest organizatorem zajęć edukacyjnych, rajdów, zawodów rowerowych, spływów kajakowych dla młodzieży</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Biura Ochrony Środowiska w Urzędzie Miasta w Brodnicy – corocznie przeprowadza  szereg działań o charakterze ekologicznym, w tym m. in. organizuje konkursy o tematyce ekologicznej, skierowane głównie do dzieci  i młodzieży z placówek  oświatowych  z terenu  miasta</w:t>
      </w:r>
    </w:p>
    <w:p w:rsidR="00567C3E" w:rsidRPr="001534A8" w:rsidRDefault="00567C3E" w:rsidP="00567C3E">
      <w:pPr>
        <w:pStyle w:val="Akapitzlist"/>
        <w:numPr>
          <w:ilvl w:val="0"/>
          <w:numId w:val="9"/>
        </w:numPr>
        <w:jc w:val="both"/>
        <w:rPr>
          <w:rFonts w:ascii="Garamond" w:hAnsi="Garamond" w:cs="Arial"/>
        </w:rPr>
      </w:pPr>
      <w:proofErr w:type="spellStart"/>
      <w:r w:rsidRPr="001534A8">
        <w:rPr>
          <w:rFonts w:ascii="Garamond" w:hAnsi="Garamond" w:cs="Arial"/>
        </w:rPr>
        <w:t>Górznieńsko</w:t>
      </w:r>
      <w:proofErr w:type="spellEnd"/>
      <w:r w:rsidRPr="001534A8">
        <w:rPr>
          <w:rFonts w:ascii="Garamond" w:hAnsi="Garamond" w:cs="Arial"/>
        </w:rPr>
        <w:t>-Lidzbarski Park Krajobrazowy – prowadzona jest tam edukacja przyrodnicza i ekologiczna dzieci, młodzieży oraz dorosłych. W parku utworzono sieć ścieżek przyrodniczo-dydaktycznych. Dysponuje on profesjonalnymi opracowaniami metodycznymi oraz fachową kadrą. Ośrodek Edukacji Przyrodniczej „</w:t>
      </w:r>
      <w:proofErr w:type="spellStart"/>
      <w:r w:rsidRPr="001534A8">
        <w:rPr>
          <w:rFonts w:ascii="Garamond" w:hAnsi="Garamond" w:cs="Arial"/>
        </w:rPr>
        <w:t>Ekoczar</w:t>
      </w:r>
      <w:proofErr w:type="spellEnd"/>
      <w:r w:rsidRPr="001534A8">
        <w:rPr>
          <w:rFonts w:ascii="Garamond" w:hAnsi="Garamond" w:cs="Arial"/>
        </w:rPr>
        <w:t>” w Czarnym Bryńsku umożliwia prowadzenie zajęć zarówno w jego siedzibie jak i w terenie. W celu usprawnienia prowadzonych działań z zakresu edukacji ekologicznej wskazane byłaby rozbudowa zaplecza dydaktycznego oraz bazy noclegowej ośrodka</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Ścieżek edukacyjno-przyrodniczych na terenie Gminy Górzno – „Szumny Zdrój”, „Do rezerwatu Czarny Bryńsk”, „Do Dębu Rzeczypospolitej”, „</w:t>
      </w:r>
      <w:proofErr w:type="spellStart"/>
      <w:r w:rsidRPr="001534A8">
        <w:rPr>
          <w:rFonts w:ascii="Garamond" w:hAnsi="Garamond" w:cs="Arial"/>
        </w:rPr>
        <w:t>Wilczełyko</w:t>
      </w:r>
      <w:proofErr w:type="spellEnd"/>
      <w:r w:rsidRPr="001534A8">
        <w:rPr>
          <w:rFonts w:ascii="Garamond" w:hAnsi="Garamond" w:cs="Arial"/>
        </w:rPr>
        <w:t>”, „Źródła Brynicy”, „Wokół Jeziora Górzno”</w:t>
      </w:r>
    </w:p>
    <w:p w:rsidR="00567C3E" w:rsidRPr="001534A8" w:rsidRDefault="00567C3E" w:rsidP="00567C3E">
      <w:pPr>
        <w:pStyle w:val="Akapitzlist"/>
        <w:numPr>
          <w:ilvl w:val="0"/>
          <w:numId w:val="9"/>
        </w:numPr>
        <w:jc w:val="both"/>
        <w:rPr>
          <w:rFonts w:ascii="Garamond" w:hAnsi="Garamond" w:cs="Arial"/>
        </w:rPr>
      </w:pPr>
      <w:r w:rsidRPr="001534A8">
        <w:rPr>
          <w:rFonts w:ascii="Garamond" w:hAnsi="Garamond" w:cs="Arial"/>
        </w:rPr>
        <w:t>Gminnych domów kultury</w:t>
      </w:r>
    </w:p>
    <w:p w:rsidR="00567C3E" w:rsidRPr="001534A8" w:rsidRDefault="00567C3E" w:rsidP="00567C3E">
      <w:pPr>
        <w:pStyle w:val="Akapitzlist"/>
        <w:numPr>
          <w:ilvl w:val="0"/>
          <w:numId w:val="9"/>
        </w:numPr>
        <w:spacing w:after="120"/>
        <w:ind w:left="714" w:hanging="357"/>
        <w:jc w:val="both"/>
        <w:rPr>
          <w:rFonts w:ascii="Garamond" w:hAnsi="Garamond" w:cs="Arial"/>
        </w:rPr>
      </w:pPr>
      <w:r w:rsidRPr="001534A8">
        <w:rPr>
          <w:rFonts w:ascii="Garamond" w:hAnsi="Garamond" w:cs="Arial"/>
        </w:rPr>
        <w:t xml:space="preserve">Szkół, które często współpracują, w zakresie edukacji ekologicznej z urzędami gmin </w:t>
      </w:r>
    </w:p>
    <w:p w:rsidR="00567C3E" w:rsidRPr="001534A8" w:rsidRDefault="00567C3E" w:rsidP="00567C3E">
      <w:pPr>
        <w:pStyle w:val="Tekstpodstawowy22"/>
        <w:spacing w:line="276" w:lineRule="auto"/>
        <w:rPr>
          <w:rFonts w:ascii="Arial Narrow" w:hAnsi="Arial Narrow" w:cs="Arial Narrow"/>
          <w:sz w:val="24"/>
        </w:rPr>
      </w:pPr>
      <w:r w:rsidRPr="001534A8">
        <w:rPr>
          <w:rFonts w:ascii="Garamond" w:hAnsi="Garamond"/>
        </w:rPr>
        <w:t>W celu podnoszenia świadomości społeczeństwa na temat ochrony przyrody w gminach organizuje się następujące przedsięwzięcia: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coroczne akcje „sprzątanie świata”</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zbiorki odpadów wielkogabarytowych</w:t>
      </w:r>
    </w:p>
    <w:p w:rsidR="00567C3E" w:rsidRPr="001534A8" w:rsidRDefault="00567C3E" w:rsidP="00567C3E">
      <w:pPr>
        <w:pStyle w:val="Tekstpodstawowy22"/>
        <w:numPr>
          <w:ilvl w:val="0"/>
          <w:numId w:val="10"/>
        </w:numPr>
        <w:spacing w:line="276" w:lineRule="auto"/>
        <w:rPr>
          <w:rFonts w:ascii="Garamond" w:hAnsi="Garamond"/>
          <w:szCs w:val="22"/>
        </w:rPr>
      </w:pPr>
      <w:r w:rsidRPr="001534A8">
        <w:rPr>
          <w:rFonts w:ascii="Garamond" w:hAnsi="Garamond" w:cs="Arial Narrow"/>
          <w:szCs w:val="22"/>
        </w:rPr>
        <w:t>selektywną zbiórkę odpadów</w:t>
      </w:r>
    </w:p>
    <w:p w:rsidR="00567C3E" w:rsidRPr="001534A8" w:rsidRDefault="00567C3E" w:rsidP="00567C3E">
      <w:pPr>
        <w:pStyle w:val="Tekstpodstawowy22"/>
        <w:numPr>
          <w:ilvl w:val="0"/>
          <w:numId w:val="10"/>
        </w:numPr>
        <w:spacing w:line="276" w:lineRule="auto"/>
        <w:rPr>
          <w:rFonts w:ascii="Garamond" w:hAnsi="Garamond" w:cs="Arial Narrow"/>
          <w:szCs w:val="22"/>
        </w:rPr>
      </w:pPr>
      <w:r w:rsidRPr="001534A8">
        <w:rPr>
          <w:rFonts w:ascii="Garamond" w:hAnsi="Garamond" w:cs="Arial Narrow"/>
          <w:szCs w:val="22"/>
        </w:rPr>
        <w:t xml:space="preserve">wydanie ulotek informacyjnych związanych ze zmianą ustawy o utrzymaniu czystości </w:t>
      </w:r>
      <w:r w:rsidRPr="001534A8">
        <w:rPr>
          <w:rFonts w:ascii="Garamond" w:hAnsi="Garamond" w:cs="Arial Narrow"/>
          <w:szCs w:val="22"/>
        </w:rPr>
        <w:br/>
        <w:t>i porządku w gminach</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rPr>
            </w:pPr>
            <w:r w:rsidRPr="001534A8">
              <w:rPr>
                <w:rFonts w:ascii="Garamond" w:hAnsi="Garamond"/>
                <w:b/>
                <w:color w:val="FFFFFF" w:themeColor="background1"/>
                <w:sz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rPr>
            </w:pPr>
            <w:r w:rsidRPr="001534A8">
              <w:rPr>
                <w:noProof/>
                <w:sz w:val="20"/>
              </w:rPr>
              <w:drawing>
                <wp:inline distT="0" distB="0" distL="0" distR="0" wp14:anchorId="4A68B0D8" wp14:editId="2D55228A">
                  <wp:extent cx="539654" cy="540000"/>
                  <wp:effectExtent l="19050" t="0" r="0" b="0"/>
                  <wp:docPr id="39" name="Obraz 3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ORSG Powiatu Brodnickiego jest atrakcyjnym regionem turystycznym posiadającym ciekawą ofertę rekreacyjną. Główne walory przyrodnicze, na bazie których można rozwijać ofertę turystyczną obszaru, skupiają się przede wszystkim wokół </w:t>
            </w:r>
            <w:r w:rsidRPr="001534A8">
              <w:rPr>
                <w:rFonts w:ascii="Garamond" w:hAnsi="Garamond" w:cs="Arial"/>
                <w:sz w:val="20"/>
                <w:szCs w:val="20"/>
              </w:rPr>
              <w:t xml:space="preserve">Brodnickiego i </w:t>
            </w:r>
            <w:proofErr w:type="spellStart"/>
            <w:r w:rsidRPr="001534A8">
              <w:rPr>
                <w:rFonts w:ascii="Garamond" w:hAnsi="Garamond" w:cs="Arial"/>
                <w:sz w:val="20"/>
                <w:szCs w:val="20"/>
              </w:rPr>
              <w:t>Górznieńsko</w:t>
            </w:r>
            <w:proofErr w:type="spellEnd"/>
            <w:r w:rsidRPr="001534A8">
              <w:rPr>
                <w:rFonts w:ascii="Garamond" w:hAnsi="Garamond" w:cs="Arial"/>
                <w:sz w:val="20"/>
                <w:szCs w:val="20"/>
              </w:rPr>
              <w:t>-Lidzbarskiego Parku Krajobrazowego oraz kilkunastu rezerwatów przyrody.</w:t>
            </w:r>
            <w:r w:rsidRPr="001534A8">
              <w:rPr>
                <w:rFonts w:ascii="Garamond" w:hAnsi="Garamond"/>
                <w:sz w:val="20"/>
                <w:szCs w:val="20"/>
              </w:rPr>
              <w:t xml:space="preserve"> Istniejący potencjał regionu należy wobec powyższego rozwijać poprzez inwestycje w odpowiednią infrastrukturę turystyczno-wypoczynkową</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drawing>
                <wp:inline distT="0" distB="0" distL="0" distR="0" wp14:anchorId="361ADA55" wp14:editId="3F36AC52">
                  <wp:extent cx="539650" cy="540000"/>
                  <wp:effectExtent l="19050" t="0" r="0" b="0"/>
                  <wp:docPr id="50" name="Obraz 39"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0"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rPr>
            </w:pPr>
            <w:r w:rsidRPr="001534A8">
              <w:rPr>
                <w:rFonts w:ascii="Garamond" w:eastAsia="Calibri" w:hAnsi="Garamond" w:cs="Times New Roman"/>
                <w:sz w:val="20"/>
              </w:rPr>
              <w:t xml:space="preserve">Długość ścieżek rowerowych przebiegających przez ORSG jest niewystarczająca. Każdego dnia mieszkańcy terenów podmiejskich dojeżdżają do zakładów pracy, szkół czy zakładów opieki lekarskiej mieszczących się w miastach ORSG Powiatu Brodnickiego. W celu zwiększenia bezpieczeństwa pieszych i rowerzystów, a także podróżujących samochodami niezbędna jest dalsza budowa ścieżek pieszo-rowerowych biegnących przede wszystkim przy trasach głównych dróg dojazdowych do miast. Budowa ścieżek rowerowych może ponadto wpłynąć na zwiększenie liczby osób przemieszczających się rowerem. Wpłynęłoby to pozytywnie na środowisko, ze względu na redukcje emisji zanieczyszczeń. Położenie ścieżek rowerowych w ciągu szlaków turystycznych przyczyni się również do rozwoju turystyki. Należy pamiętać także o budowie chodników, które w istotny sposób wpłyną na poprawę bezpieczeństwa mieszkańców </w:t>
            </w:r>
            <w:r>
              <w:rPr>
                <w:rFonts w:ascii="Garamond" w:eastAsia="Calibri" w:hAnsi="Garamond" w:cs="Times New Roman"/>
                <w:sz w:val="20"/>
              </w:rPr>
              <w:t>P</w:t>
            </w:r>
            <w:r w:rsidRPr="001534A8">
              <w:rPr>
                <w:rFonts w:ascii="Garamond" w:eastAsia="Calibri" w:hAnsi="Garamond" w:cs="Times New Roman"/>
                <w:sz w:val="20"/>
              </w:rPr>
              <w:t>owiatu</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sz w:val="20"/>
              </w:rPr>
            </w:pPr>
            <w:r w:rsidRPr="001534A8">
              <w:rPr>
                <w:noProof/>
                <w:sz w:val="20"/>
              </w:rPr>
              <w:lastRenderedPageBreak/>
              <w:drawing>
                <wp:inline distT="0" distB="0" distL="0" distR="0" wp14:anchorId="2F7D9D88" wp14:editId="011138C9">
                  <wp:extent cx="539654" cy="540000"/>
                  <wp:effectExtent l="19050" t="0" r="0" b="0"/>
                  <wp:docPr id="52" name="Obraz 40"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 xml:space="preserve">Edukacyjne działania </w:t>
            </w:r>
            <w:proofErr w:type="spellStart"/>
            <w:r w:rsidRPr="001534A8">
              <w:rPr>
                <w:rFonts w:ascii="Garamond" w:hAnsi="Garamond"/>
                <w:sz w:val="20"/>
                <w:szCs w:val="20"/>
              </w:rPr>
              <w:t>prośrodowiskowe</w:t>
            </w:r>
            <w:proofErr w:type="spellEnd"/>
            <w:r w:rsidRPr="001534A8">
              <w:rPr>
                <w:rFonts w:ascii="Garamond" w:hAnsi="Garamond"/>
                <w:sz w:val="20"/>
                <w:szCs w:val="20"/>
              </w:rPr>
              <w:t xml:space="preserve"> w Powiecie Brodnickim skierowane są do dzieci, młodzieży i dorosłych. Wśród form edukacji ekologicznej realizowanych na obszarze wyróżnić można m.in. wystawy, rajdy rowerowe, spływy kajakowe, ścieżki przyrodnicze-dydaktyczne, zajęcia edukacyjne, akcja sprzątania, zbiórki i sortowania odpadów. Ofertę w zakresie edukacji ekologicznej należy konsekwentnie poszerzać, gdyż znaczna część mieszkańców obszaru nie widzi korzyści płynących z segregacji odpadów i likwidacji nielegalnych wysypisk śmieci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sz w:val="20"/>
              </w:rPr>
            </w:pPr>
            <w:r w:rsidRPr="001534A8">
              <w:rPr>
                <w:noProof/>
                <w:sz w:val="20"/>
              </w:rPr>
              <w:drawing>
                <wp:inline distT="0" distB="0" distL="0" distR="0" wp14:anchorId="0CBC2A59" wp14:editId="29B15C12">
                  <wp:extent cx="539654" cy="540000"/>
                  <wp:effectExtent l="19050" t="0" r="0" b="0"/>
                  <wp:docPr id="27"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line="276" w:lineRule="auto"/>
              <w:jc w:val="both"/>
              <w:rPr>
                <w:rFonts w:ascii="Garamond" w:hAnsi="Garamond"/>
                <w:sz w:val="20"/>
                <w:szCs w:val="20"/>
              </w:rPr>
            </w:pPr>
            <w:r w:rsidRPr="001534A8">
              <w:rPr>
                <w:rFonts w:ascii="Garamond" w:hAnsi="Garamond"/>
                <w:sz w:val="20"/>
                <w:szCs w:val="20"/>
              </w:rPr>
              <w:t>Ze względu na obecność obszarów chronionych i obszarów Natura 2000, należałoby rozwijać i wspierać ośrodki edukacji ekologicznej w szczególności poprzez rozbudowę zaplecza dydaktycznego. Wskazanym byłoby utworzenie Kujawsko-Pomorskiego Ośrodka Edukacji Ekologicznej w Czarnym Bryńsku</w:t>
            </w:r>
          </w:p>
        </w:tc>
      </w:tr>
    </w:tbl>
    <w:p w:rsidR="00567C3E" w:rsidRPr="001534A8" w:rsidRDefault="00567C3E" w:rsidP="00567C3E">
      <w:pPr>
        <w:rPr>
          <w:rFonts w:ascii="Garamond" w:hAnsi="Garamond" w:cs="Arial"/>
          <w:b/>
          <w:color w:val="824BB0"/>
          <w:sz w:val="28"/>
        </w:rPr>
        <w:sectPr w:rsidR="00567C3E" w:rsidRPr="001534A8" w:rsidSect="00D32FA7">
          <w:pgSz w:w="11906" w:h="16838"/>
          <w:pgMar w:top="1417" w:right="1417" w:bottom="1417" w:left="1417" w:header="708" w:footer="708" w:gutter="0"/>
          <w:cols w:space="708"/>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67C3E" w:rsidRPr="001534A8" w:rsidTr="00D32FA7">
        <w:tc>
          <w:tcPr>
            <w:tcW w:w="4606" w:type="dxa"/>
            <w:vAlign w:val="center"/>
          </w:tcPr>
          <w:p w:rsidR="00567C3E" w:rsidRPr="001534A8" w:rsidRDefault="00567C3E" w:rsidP="00D32FA7">
            <w:pPr>
              <w:pStyle w:val="ST3"/>
            </w:pPr>
            <w:bookmarkStart w:id="68" w:name="_Toc415228163"/>
            <w:bookmarkStart w:id="69" w:name="_Toc419705523"/>
            <w:r w:rsidRPr="001534A8">
              <w:lastRenderedPageBreak/>
              <w:t>Infrastruktura techniczna</w:t>
            </w:r>
            <w:bookmarkEnd w:id="68"/>
            <w:bookmarkEnd w:id="69"/>
          </w:p>
        </w:tc>
        <w:tc>
          <w:tcPr>
            <w:tcW w:w="4606" w:type="dxa"/>
            <w:vAlign w:val="center"/>
          </w:tcPr>
          <w:p w:rsidR="00567C3E" w:rsidRPr="001534A8" w:rsidRDefault="00567C3E" w:rsidP="00D32FA7">
            <w:pPr>
              <w:jc w:val="center"/>
              <w:rPr>
                <w:rFonts w:ascii="Garamond" w:hAnsi="Garamond" w:cs="Arial"/>
                <w:b/>
                <w:color w:val="824BB0"/>
                <w:sz w:val="28"/>
              </w:rPr>
            </w:pPr>
            <w:r w:rsidRPr="001534A8">
              <w:object w:dxaOrig="2295" w:dyaOrig="2370">
                <v:shape id="_x0000_i1033" type="#_x0000_t75" style="width:94.5pt;height:98.25pt" o:ole="">
                  <v:imagedata r:id="rId58" o:title=""/>
                </v:shape>
                <o:OLEObject Type="Embed" ProgID="PBrush" ShapeID="_x0000_i1033" DrawAspect="Content" ObjectID="_1592972281" r:id="rId59"/>
              </w:object>
            </w:r>
          </w:p>
        </w:tc>
      </w:tr>
    </w:tbl>
    <w:p w:rsidR="00567C3E" w:rsidRPr="001534A8" w:rsidRDefault="00567C3E" w:rsidP="00567C3E">
      <w:pPr>
        <w:rPr>
          <w:rFonts w:ascii="Garamond" w:hAnsi="Garamond" w:cs="Arial"/>
          <w:b/>
          <w:color w:val="824BB0"/>
          <w:sz w:val="28"/>
        </w:rPr>
      </w:pPr>
    </w:p>
    <w:p w:rsidR="00567C3E" w:rsidRPr="001534A8" w:rsidRDefault="00567C3E" w:rsidP="00567C3E">
      <w:pPr>
        <w:spacing w:after="0"/>
        <w:jc w:val="both"/>
        <w:rPr>
          <w:rFonts w:ascii="Garamond" w:hAnsi="Garamond" w:cs="Arial"/>
          <w:b/>
          <w:color w:val="B1059D"/>
          <w:sz w:val="24"/>
          <w:szCs w:val="20"/>
        </w:rPr>
      </w:pPr>
      <w:r w:rsidRPr="001534A8">
        <w:rPr>
          <w:rFonts w:ascii="Garamond" w:hAnsi="Garamond" w:cs="Arial"/>
          <w:b/>
          <w:color w:val="B1059D"/>
          <w:sz w:val="24"/>
          <w:szCs w:val="20"/>
        </w:rPr>
        <w:t>Gospodarka wodno-ściekowa</w:t>
      </w:r>
    </w:p>
    <w:p w:rsidR="00567C3E" w:rsidRPr="001534A8" w:rsidRDefault="00567C3E" w:rsidP="00567C3E">
      <w:pPr>
        <w:spacing w:after="0"/>
        <w:jc w:val="both"/>
        <w:rPr>
          <w:rFonts w:ascii="Garamond" w:hAnsi="Garamond" w:cs="Arial"/>
          <w:b/>
          <w:color w:val="B1059D"/>
          <w:sz w:val="24"/>
          <w:szCs w:val="20"/>
        </w:rPr>
      </w:pPr>
    </w:p>
    <w:p w:rsidR="00567C3E" w:rsidRPr="001534A8" w:rsidRDefault="00567C3E" w:rsidP="00567C3E">
      <w:pPr>
        <w:spacing w:after="120"/>
        <w:ind w:firstLine="709"/>
        <w:jc w:val="both"/>
        <w:rPr>
          <w:rFonts w:ascii="Garamond" w:hAnsi="Garamond"/>
        </w:rPr>
      </w:pPr>
      <w:r w:rsidRPr="001534A8">
        <w:rPr>
          <w:rFonts w:ascii="Garamond" w:hAnsi="Garamond"/>
        </w:rPr>
        <w:t xml:space="preserve">Zgodnie z zapisami Regionalnego Programu Operacyjnego Województwa Kujawsko – Pomorskiego na lata 2014 – 2020 główne wyzwania i potrzeby województwa odnośnie organizacji gospodarki </w:t>
      </w:r>
      <w:proofErr w:type="spellStart"/>
      <w:r w:rsidRPr="001534A8">
        <w:rPr>
          <w:rFonts w:ascii="Garamond" w:hAnsi="Garamond"/>
        </w:rPr>
        <w:t>wodno</w:t>
      </w:r>
      <w:proofErr w:type="spellEnd"/>
      <w:r w:rsidRPr="001534A8">
        <w:rPr>
          <w:rFonts w:ascii="Garamond" w:hAnsi="Garamond"/>
        </w:rPr>
        <w:t xml:space="preserve"> – ściekowej sprowadzają się do ograniczenia negatywnego oddziaływania ścieków komunalnych na jakość wód, poprzez rozbudowę sieci kanalizacyjnej i budowę nowoczesnych oczyszczalni ścieków oraz modernizację istniejących oczyszczalni.</w:t>
      </w:r>
    </w:p>
    <w:p w:rsidR="00567C3E" w:rsidRPr="001534A8" w:rsidRDefault="00567C3E" w:rsidP="00567C3E">
      <w:pPr>
        <w:ind w:firstLine="708"/>
        <w:jc w:val="both"/>
        <w:rPr>
          <w:rFonts w:ascii="Garamond" w:hAnsi="Garamond" w:cs="Arial"/>
        </w:rPr>
      </w:pPr>
      <w:r w:rsidRPr="001534A8">
        <w:rPr>
          <w:rFonts w:ascii="Garamond" w:hAnsi="Garamond" w:cs="Arial"/>
        </w:rPr>
        <w:t xml:space="preserve">Odsetek mieszkańców korzystających z sieci kanalizacyjnej w granicach ORSG wyniósł w 2013 r. 56,5% i był wyższy niż w roku 2008 o 3,9%. Najlepszym skanalizowaniem charakteryzuje się gmina miejska Brodnica, gdzie z sieci korzysta 89,7% osób. W większości gmin procent mieszkańców użytkujących sieć kanalizacyjną jest bardzo niski i kształtuje się na poziomie 20%-30%. Na terenach, na których rozbudowa sieci kanalizacyjnej jest niezasadna rozwijany jest system przydomowych oczyszczalni ścieków. </w:t>
      </w:r>
    </w:p>
    <w:p w:rsidR="00567C3E" w:rsidRPr="001534A8" w:rsidRDefault="00567C3E" w:rsidP="00567C3E">
      <w:pPr>
        <w:ind w:firstLine="708"/>
        <w:jc w:val="both"/>
        <w:rPr>
          <w:rFonts w:ascii="Garamond" w:hAnsi="Garamond" w:cs="Arial"/>
        </w:rPr>
      </w:pPr>
      <w:r w:rsidRPr="001534A8">
        <w:rPr>
          <w:rFonts w:ascii="Garamond" w:hAnsi="Garamond" w:cs="Arial"/>
          <w:szCs w:val="20"/>
        </w:rPr>
        <w:t>W 2013 r. z sieci wodociągowej korzystało 87,2% mieszkańców ORSG. Najlepiej zaopatrzeni w wodę byli mieszkańcy gminy miejskiej i wiejskiej Brodnica, na tym terenie odsetek osób korzystających z sieci wodociągowej przekroczył 90,0%. Łączna długość sieci na terenie ORSG wynosiła 1433,1 km.</w:t>
      </w:r>
    </w:p>
    <w:p w:rsidR="00567C3E" w:rsidRPr="001534A8" w:rsidRDefault="00567C3E" w:rsidP="00567C3E">
      <w:pPr>
        <w:pStyle w:val="T"/>
      </w:pPr>
      <w:bookmarkStart w:id="70" w:name="_Toc430872011"/>
      <w:r w:rsidRPr="001534A8">
        <w:t>Tabela 2</w:t>
      </w:r>
      <w:r>
        <w:t>9</w:t>
      </w:r>
      <w:r w:rsidRPr="001534A8">
        <w:t>. Korzystający z sieci wodnej i kanalizacyjnej oraz długość sieci na terenie ORSG Powiatu Brodnickiego w 2013 r.</w:t>
      </w:r>
      <w:bookmarkEnd w:id="70"/>
    </w:p>
    <w:tbl>
      <w:tblPr>
        <w:tblW w:w="6509" w:type="dxa"/>
        <w:jc w:val="center"/>
        <w:tblCellMar>
          <w:left w:w="70" w:type="dxa"/>
          <w:right w:w="70" w:type="dxa"/>
        </w:tblCellMar>
        <w:tblLook w:val="04A0" w:firstRow="1" w:lastRow="0" w:firstColumn="1" w:lastColumn="0" w:noHBand="0" w:noVBand="1"/>
      </w:tblPr>
      <w:tblGrid>
        <w:gridCol w:w="1322"/>
        <w:gridCol w:w="622"/>
        <w:gridCol w:w="620"/>
        <w:gridCol w:w="753"/>
        <w:gridCol w:w="749"/>
        <w:gridCol w:w="1242"/>
        <w:gridCol w:w="1201"/>
      </w:tblGrid>
      <w:tr w:rsidR="00567C3E" w:rsidRPr="001534A8" w:rsidTr="00D32FA7">
        <w:trPr>
          <w:trHeight w:val="282"/>
          <w:jc w:val="center"/>
        </w:trPr>
        <w:tc>
          <w:tcPr>
            <w:tcW w:w="0" w:type="auto"/>
            <w:vMerge w:val="restart"/>
            <w:tcBorders>
              <w:top w:val="single" w:sz="4" w:space="0" w:color="824BB0"/>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r w:rsidRPr="001534A8">
              <w:rPr>
                <w:rFonts w:ascii="Garamond" w:eastAsia="Times New Roman" w:hAnsi="Garamond" w:cs="Arial"/>
                <w:color w:val="FFFFFF" w:themeColor="background1"/>
                <w:sz w:val="20"/>
                <w:szCs w:val="20"/>
              </w:rPr>
              <w:t>Jednostka terytorialna</w:t>
            </w:r>
          </w:p>
        </w:tc>
        <w:tc>
          <w:tcPr>
            <w:tcW w:w="2731" w:type="dxa"/>
            <w:gridSpan w:val="4"/>
            <w:tcBorders>
              <w:top w:val="single" w:sz="4" w:space="0" w:color="824BB0"/>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Korzystający z sieci</w:t>
            </w:r>
          </w:p>
        </w:tc>
        <w:tc>
          <w:tcPr>
            <w:tcW w:w="1242" w:type="dxa"/>
            <w:vMerge w:val="restart"/>
            <w:tcBorders>
              <w:top w:val="single" w:sz="4"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wodociągowej</w:t>
            </w:r>
          </w:p>
        </w:tc>
        <w:tc>
          <w:tcPr>
            <w:tcW w:w="1201" w:type="dxa"/>
            <w:vMerge w:val="restart"/>
            <w:tcBorders>
              <w:top w:val="single" w:sz="4" w:space="0" w:color="824BB0"/>
              <w:left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długość czynnej sieci kanalizacyjnej</w:t>
            </w:r>
          </w:p>
        </w:tc>
      </w:tr>
      <w:tr w:rsidR="00567C3E" w:rsidRPr="001534A8" w:rsidTr="00D32FA7">
        <w:trPr>
          <w:trHeight w:val="281"/>
          <w:jc w:val="center"/>
        </w:trPr>
        <w:tc>
          <w:tcPr>
            <w:tcW w:w="0" w:type="auto"/>
            <w:vMerge/>
            <w:tcBorders>
              <w:left w:val="single" w:sz="4" w:space="0" w:color="824BB0"/>
              <w:right w:val="single" w:sz="8" w:space="0" w:color="FFFFFF"/>
            </w:tcBorders>
            <w:shd w:val="clear" w:color="auto" w:fill="824BB0"/>
            <w:vAlign w:val="center"/>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gridSpan w:val="2"/>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wodociągowej</w:t>
            </w:r>
          </w:p>
        </w:tc>
        <w:tc>
          <w:tcPr>
            <w:tcW w:w="148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kanalizacyjnej</w:t>
            </w:r>
          </w:p>
        </w:tc>
        <w:tc>
          <w:tcPr>
            <w:tcW w:w="1242" w:type="dxa"/>
            <w:vMerge/>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c>
          <w:tcPr>
            <w:tcW w:w="1201" w:type="dxa"/>
            <w:vMerge/>
            <w:tcBorders>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p>
        </w:tc>
      </w:tr>
      <w:tr w:rsidR="00567C3E" w:rsidRPr="001534A8" w:rsidTr="00D32FA7">
        <w:trPr>
          <w:trHeight w:val="20"/>
          <w:jc w:val="center"/>
        </w:trPr>
        <w:tc>
          <w:tcPr>
            <w:tcW w:w="0" w:type="auto"/>
            <w:vMerge/>
            <w:tcBorders>
              <w:left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0"/>
          <w:jc w:val="center"/>
        </w:trPr>
        <w:tc>
          <w:tcPr>
            <w:tcW w:w="0" w:type="auto"/>
            <w:vMerge/>
            <w:tcBorders>
              <w:left w:val="single" w:sz="4" w:space="0" w:color="824BB0"/>
              <w:bottom w:val="single" w:sz="4" w:space="0" w:color="824BB0"/>
              <w:right w:val="single" w:sz="8" w:space="0" w:color="FFFFFF"/>
            </w:tcBorders>
            <w:shd w:val="clear" w:color="auto" w:fill="824BB0"/>
            <w:hideMark/>
          </w:tcPr>
          <w:p w:rsidR="00567C3E" w:rsidRPr="001534A8" w:rsidRDefault="00567C3E" w:rsidP="00D32FA7">
            <w:pPr>
              <w:spacing w:before="20" w:after="20" w:line="240" w:lineRule="auto"/>
              <w:jc w:val="center"/>
              <w:rPr>
                <w:rFonts w:ascii="Garamond" w:eastAsia="Times New Roman" w:hAnsi="Garamond" w:cs="Arial"/>
                <w:color w:val="FFFFFF" w:themeColor="background1"/>
                <w:sz w:val="20"/>
                <w:szCs w:val="20"/>
              </w:rPr>
            </w:pPr>
          </w:p>
        </w:tc>
        <w:tc>
          <w:tcPr>
            <w:tcW w:w="0" w:type="auto"/>
            <w:tcBorders>
              <w:top w:val="single" w:sz="4" w:space="0" w:color="FFFFFF" w:themeColor="background1"/>
              <w:left w:val="single" w:sz="4" w:space="0" w:color="000000"/>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0" w:type="auto"/>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8"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741"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w:t>
            </w:r>
          </w:p>
        </w:tc>
        <w:tc>
          <w:tcPr>
            <w:tcW w:w="1242" w:type="dxa"/>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c>
          <w:tcPr>
            <w:tcW w:w="1201"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noWrap/>
            <w:hideMark/>
          </w:tcPr>
          <w:p w:rsidR="00567C3E" w:rsidRPr="001534A8" w:rsidRDefault="00567C3E" w:rsidP="00D32FA7">
            <w:pPr>
              <w:spacing w:before="20" w:after="2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km</w:t>
            </w:r>
          </w:p>
        </w:tc>
      </w:tr>
      <w:tr w:rsidR="00567C3E" w:rsidRPr="001534A8" w:rsidTr="00D32FA7">
        <w:trPr>
          <w:trHeight w:val="20"/>
          <w:jc w:val="center"/>
        </w:trPr>
        <w:tc>
          <w:tcPr>
            <w:tcW w:w="0" w:type="auto"/>
            <w:tcBorders>
              <w:top w:val="single" w:sz="4" w:space="0" w:color="824BB0"/>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78,4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79,2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46,7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47,6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130,7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Bobrowo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23,8</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220,9</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95,6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89,7</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123,9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90,8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91,7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26,4</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173,3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Brzozie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74,8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76,6</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11,2</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26,3</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32,2</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Górzno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77,3</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77,8</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36,3</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39,6</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101,7</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25,9</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82,0</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83,9</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45,6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178,2</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43,0</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Osiek</w:t>
            </w:r>
          </w:p>
        </w:tc>
        <w:tc>
          <w:tcPr>
            <w:tcW w:w="0" w:type="auto"/>
            <w:tcBorders>
              <w:top w:val="nil"/>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82,7</w:t>
            </w:r>
          </w:p>
        </w:tc>
        <w:tc>
          <w:tcPr>
            <w:tcW w:w="0" w:type="auto"/>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85,6</w:t>
            </w:r>
          </w:p>
        </w:tc>
        <w:tc>
          <w:tcPr>
            <w:tcW w:w="748"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28,3</w:t>
            </w:r>
          </w:p>
        </w:tc>
        <w:tc>
          <w:tcPr>
            <w:tcW w:w="741" w:type="dxa"/>
            <w:tcBorders>
              <w:top w:val="nil"/>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38,1</w:t>
            </w:r>
          </w:p>
        </w:tc>
        <w:tc>
          <w:tcPr>
            <w:tcW w:w="1242"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135,0</w:t>
            </w:r>
          </w:p>
        </w:tc>
        <w:tc>
          <w:tcPr>
            <w:tcW w:w="1201" w:type="dxa"/>
            <w:tcBorders>
              <w:top w:val="nil"/>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19,5</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66,4</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67,7</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19,1</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20,1</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178,3</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10,8</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sz w:val="20"/>
                <w:szCs w:val="20"/>
              </w:rPr>
            </w:pPr>
            <w:r w:rsidRPr="001534A8">
              <w:rPr>
                <w:rFonts w:ascii="Garamond" w:eastAsia="Times New Roman" w:hAnsi="Garamond" w:cs="Arial"/>
                <w:sz w:val="20"/>
                <w:szCs w:val="20"/>
              </w:rPr>
              <w:t>Zbiczno</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83,8</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sz w:val="20"/>
                <w:szCs w:val="20"/>
              </w:rPr>
            </w:pPr>
            <w:r w:rsidRPr="001534A8">
              <w:rPr>
                <w:rFonts w:ascii="Garamond" w:eastAsia="Times New Roman" w:hAnsi="Garamond" w:cs="Arial"/>
                <w:sz w:val="20"/>
                <w:szCs w:val="20"/>
              </w:rPr>
              <w:t>86,5</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33,7</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36,0</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90,5</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sz w:val="20"/>
                <w:szCs w:val="20"/>
              </w:rPr>
            </w:pPr>
            <w:r w:rsidRPr="001534A8">
              <w:rPr>
                <w:rFonts w:ascii="Garamond" w:eastAsia="Times New Roman" w:hAnsi="Garamond" w:cs="Arial"/>
                <w:sz w:val="20"/>
                <w:szCs w:val="20"/>
              </w:rPr>
              <w:t>37,7</w:t>
            </w:r>
          </w:p>
        </w:tc>
      </w:tr>
      <w:tr w:rsidR="00567C3E" w:rsidRPr="001534A8" w:rsidTr="00D32FA7">
        <w:trPr>
          <w:trHeight w:val="20"/>
          <w:jc w:val="center"/>
        </w:trPr>
        <w:tc>
          <w:tcPr>
            <w:tcW w:w="0" w:type="auto"/>
            <w:tcBorders>
              <w:top w:val="nil"/>
              <w:left w:val="single" w:sz="8" w:space="0" w:color="824BB0"/>
              <w:bottom w:val="single" w:sz="8" w:space="0" w:color="824BB0"/>
              <w:right w:val="single" w:sz="8" w:space="0" w:color="824BB0"/>
            </w:tcBorders>
            <w:shd w:val="clear" w:color="auto" w:fill="auto"/>
            <w:hideMark/>
          </w:tcPr>
          <w:p w:rsidR="00567C3E" w:rsidRPr="001534A8" w:rsidRDefault="00567C3E" w:rsidP="00D32FA7">
            <w:pPr>
              <w:spacing w:before="20" w:after="20" w:line="240" w:lineRule="auto"/>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0" w:type="auto"/>
            <w:tcBorders>
              <w:top w:val="single" w:sz="4" w:space="0" w:color="824BB0"/>
              <w:left w:val="single" w:sz="4" w:space="0" w:color="00000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86,2</w:t>
            </w:r>
          </w:p>
        </w:tc>
        <w:tc>
          <w:tcPr>
            <w:tcW w:w="0" w:type="auto"/>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center"/>
              <w:rPr>
                <w:rFonts w:ascii="Garamond" w:eastAsia="Times New Roman" w:hAnsi="Garamond" w:cs="Arial"/>
                <w:b/>
                <w:sz w:val="20"/>
                <w:szCs w:val="20"/>
              </w:rPr>
            </w:pPr>
            <w:r w:rsidRPr="001534A8">
              <w:rPr>
                <w:rFonts w:ascii="Garamond" w:eastAsia="Times New Roman" w:hAnsi="Garamond" w:cs="Arial"/>
                <w:b/>
                <w:sz w:val="20"/>
                <w:szCs w:val="20"/>
              </w:rPr>
              <w:t>87,2</w:t>
            </w:r>
          </w:p>
        </w:tc>
        <w:tc>
          <w:tcPr>
            <w:tcW w:w="74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52,6</w:t>
            </w:r>
          </w:p>
        </w:tc>
        <w:tc>
          <w:tcPr>
            <w:tcW w:w="741"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56,5</w:t>
            </w:r>
          </w:p>
        </w:tc>
        <w:tc>
          <w:tcPr>
            <w:tcW w:w="1242"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1 433,1</w:t>
            </w:r>
          </w:p>
        </w:tc>
        <w:tc>
          <w:tcPr>
            <w:tcW w:w="1201" w:type="dxa"/>
            <w:tcBorders>
              <w:top w:val="single" w:sz="4" w:space="0" w:color="824BB0"/>
              <w:left w:val="single" w:sz="4" w:space="0" w:color="824BB0"/>
              <w:bottom w:val="single" w:sz="4" w:space="0" w:color="824BB0"/>
              <w:right w:val="single" w:sz="4" w:space="0" w:color="824BB0"/>
            </w:tcBorders>
            <w:shd w:val="clear" w:color="auto" w:fill="auto"/>
            <w:noWrap/>
            <w:hideMark/>
          </w:tcPr>
          <w:p w:rsidR="00567C3E" w:rsidRPr="001534A8" w:rsidRDefault="00567C3E" w:rsidP="00D32FA7">
            <w:pPr>
              <w:spacing w:before="20" w:after="2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458,4</w:t>
            </w:r>
          </w:p>
        </w:tc>
      </w:tr>
    </w:tbl>
    <w:p w:rsidR="00567C3E" w:rsidRPr="001534A8" w:rsidRDefault="00567C3E" w:rsidP="00567C3E">
      <w:pPr>
        <w:spacing w:before="120" w:after="120"/>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9"/>
        <w:jc w:val="both"/>
        <w:rPr>
          <w:rFonts w:ascii="Garamond" w:hAnsi="Garamond"/>
        </w:rPr>
      </w:pPr>
      <w:r w:rsidRPr="001534A8">
        <w:rPr>
          <w:rFonts w:ascii="Garamond" w:hAnsi="Garamond"/>
        </w:rPr>
        <w:lastRenderedPageBreak/>
        <w:t>Polska przystępując do Unii Europejskiej zobowiązała się do wypełnienia wymogów dyrektywy Rady 91/271/EWG z dnia 21 maja 1991 roku dotyczącej oczyszczania ścieków komunalnych zgodnie z określonymi w negocjacjach i zapisanymi w Traktacie Akcesyjnym terminami i okresami przejściowymi. Aby zidentyfikować faktyczne potrzeby w zakresie uporządkowania gospodarki ściekowej oraz uszeregować ich realizację w taki sposób aby wywiązać się ze zobowiązań traktatowych, utworzono Krajowy program oczyszczania ścieków komunalnych (KPOŚK).</w:t>
      </w:r>
    </w:p>
    <w:p w:rsidR="00567C3E" w:rsidRPr="001534A8" w:rsidRDefault="00567C3E" w:rsidP="00567C3E">
      <w:pPr>
        <w:spacing w:after="120"/>
        <w:ind w:firstLine="709"/>
        <w:jc w:val="both"/>
        <w:rPr>
          <w:rFonts w:ascii="Garamond" w:hAnsi="Garamond"/>
        </w:rPr>
      </w:pPr>
      <w:r w:rsidRPr="001534A8">
        <w:rPr>
          <w:rFonts w:ascii="Garamond" w:hAnsi="Garamond"/>
        </w:rPr>
        <w:t>Program ten zawiera wykaz aglomeracji o Równoważnej Liczbie Mieszkańców RLM &gt; 2 000, wraz z jednoczesnym wykazem niezbędnych przedsięwzięć w zakresie budowy, rozbudowy lub modernizacji oczyszczalni ścieków komunalnych oraz budowy i modernizacji zbiorczych systemów kanalizacyjnych, jakie należy zrealizować w tych aglomeracjach.</w:t>
      </w:r>
    </w:p>
    <w:p w:rsidR="00567C3E" w:rsidRPr="001534A8" w:rsidRDefault="00567C3E" w:rsidP="00567C3E">
      <w:pPr>
        <w:spacing w:after="120"/>
        <w:ind w:firstLine="709"/>
        <w:jc w:val="both"/>
        <w:rPr>
          <w:rFonts w:ascii="Garamond" w:hAnsi="Garamond"/>
        </w:rPr>
      </w:pPr>
      <w:r w:rsidRPr="001534A8">
        <w:rPr>
          <w:rFonts w:ascii="Garamond" w:hAnsi="Garamond"/>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567C3E">
      <w:pPr>
        <w:spacing w:after="120"/>
        <w:ind w:firstLine="709"/>
        <w:jc w:val="both"/>
        <w:rPr>
          <w:rFonts w:ascii="Garamond" w:hAnsi="Garamond"/>
        </w:rPr>
      </w:pPr>
      <w:r w:rsidRPr="001534A8">
        <w:rPr>
          <w:rFonts w:ascii="Garamond" w:hAnsi="Garamond"/>
        </w:rPr>
        <w:t>Poniższa tabela przedstawia wykaz aglomeracji z ORSG Powiatu Brodnickiego, ujętych w KPOŚK.</w:t>
      </w:r>
    </w:p>
    <w:p w:rsidR="00567C3E" w:rsidRPr="001534A8" w:rsidRDefault="00567C3E" w:rsidP="00567C3E">
      <w:pPr>
        <w:pStyle w:val="T"/>
      </w:pPr>
      <w:bookmarkStart w:id="71" w:name="_Toc413315496"/>
      <w:bookmarkStart w:id="72" w:name="_Toc430872012"/>
      <w:r w:rsidRPr="001534A8">
        <w:t xml:space="preserve">Tabela </w:t>
      </w:r>
      <w:r>
        <w:t>30</w:t>
      </w:r>
      <w:r w:rsidRPr="001534A8">
        <w:t>. Aglomeracje z terenu ORSG ujęte w KPOŚK</w:t>
      </w:r>
      <w:bookmarkEnd w:id="71"/>
      <w:bookmarkEnd w:id="72"/>
    </w:p>
    <w:tbl>
      <w:tblPr>
        <w:tblStyle w:val="Tabela-Siatka"/>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6"/>
        <w:gridCol w:w="996"/>
        <w:gridCol w:w="1168"/>
        <w:gridCol w:w="2061"/>
      </w:tblGrid>
      <w:tr w:rsidR="00567C3E" w:rsidRPr="001534A8" w:rsidTr="00D32FA7">
        <w:trPr>
          <w:jc w:val="center"/>
        </w:trPr>
        <w:tc>
          <w:tcPr>
            <w:tcW w:w="1976" w:type="dxa"/>
            <w:tcBorders>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aglomeracji</w:t>
            </w:r>
          </w:p>
        </w:tc>
        <w:tc>
          <w:tcPr>
            <w:tcW w:w="99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RLMa</w:t>
            </w:r>
            <w:proofErr w:type="spellEnd"/>
            <w:r w:rsidRPr="001534A8">
              <w:rPr>
                <w:rFonts w:ascii="Garamond" w:hAnsi="Garamond"/>
                <w:color w:val="FFFFFF" w:themeColor="background1"/>
                <w:sz w:val="20"/>
                <w:szCs w:val="20"/>
              </w:rPr>
              <w:t>*</w:t>
            </w:r>
          </w:p>
        </w:tc>
        <w:tc>
          <w:tcPr>
            <w:tcW w:w="116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proofErr w:type="spellStart"/>
            <w:r w:rsidRPr="001534A8">
              <w:rPr>
                <w:rFonts w:ascii="Garamond" w:hAnsi="Garamond"/>
                <w:color w:val="FFFFFF" w:themeColor="background1"/>
                <w:sz w:val="20"/>
                <w:szCs w:val="20"/>
              </w:rPr>
              <w:t>RLMrz</w:t>
            </w:r>
            <w:proofErr w:type="spellEnd"/>
            <w:r w:rsidRPr="001534A8">
              <w:rPr>
                <w:rFonts w:ascii="Garamond" w:hAnsi="Garamond"/>
                <w:color w:val="FFFFFF" w:themeColor="background1"/>
                <w:sz w:val="20"/>
                <w:szCs w:val="20"/>
              </w:rPr>
              <w:t>**</w:t>
            </w:r>
          </w:p>
        </w:tc>
        <w:tc>
          <w:tcPr>
            <w:tcW w:w="2061"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color w:val="FFFFFF" w:themeColor="background1"/>
                <w:sz w:val="20"/>
                <w:szCs w:val="20"/>
              </w:rPr>
            </w:pPr>
            <w:r w:rsidRPr="001534A8">
              <w:rPr>
                <w:rFonts w:ascii="Garamond" w:hAnsi="Garamond"/>
                <w:color w:val="FFFFFF" w:themeColor="background1"/>
                <w:sz w:val="20"/>
                <w:szCs w:val="20"/>
              </w:rPr>
              <w:t>Nazwa oczyszczalni</w:t>
            </w:r>
          </w:p>
        </w:tc>
      </w:tr>
      <w:tr w:rsidR="00567C3E" w:rsidRPr="001534A8" w:rsidTr="00D32FA7">
        <w:trPr>
          <w:jc w:val="center"/>
        </w:trPr>
        <w:tc>
          <w:tcPr>
            <w:tcW w:w="1976"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c>
          <w:tcPr>
            <w:tcW w:w="996"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71 500</w:t>
            </w:r>
          </w:p>
        </w:tc>
        <w:tc>
          <w:tcPr>
            <w:tcW w:w="1168" w:type="dxa"/>
            <w:vAlign w:val="center"/>
          </w:tcPr>
          <w:p w:rsidR="00567C3E" w:rsidRPr="001534A8" w:rsidRDefault="00567C3E" w:rsidP="00D32FA7">
            <w:pPr>
              <w:spacing w:before="20" w:after="20"/>
              <w:jc w:val="right"/>
              <w:rPr>
                <w:rFonts w:ascii="Garamond" w:hAnsi="Garamond"/>
                <w:sz w:val="20"/>
                <w:szCs w:val="20"/>
              </w:rPr>
            </w:pPr>
            <w:r w:rsidRPr="001534A8">
              <w:rPr>
                <w:rFonts w:ascii="Garamond" w:hAnsi="Garamond"/>
                <w:sz w:val="20"/>
                <w:szCs w:val="20"/>
              </w:rPr>
              <w:t>74 629</w:t>
            </w:r>
          </w:p>
        </w:tc>
        <w:tc>
          <w:tcPr>
            <w:tcW w:w="2061" w:type="dxa"/>
            <w:vAlign w:val="center"/>
          </w:tcPr>
          <w:p w:rsidR="00567C3E" w:rsidRPr="001534A8" w:rsidRDefault="00567C3E" w:rsidP="00D32FA7">
            <w:pPr>
              <w:spacing w:before="20" w:after="20"/>
              <w:jc w:val="both"/>
              <w:rPr>
                <w:rFonts w:ascii="Garamond" w:hAnsi="Garamond"/>
                <w:sz w:val="20"/>
                <w:szCs w:val="20"/>
              </w:rPr>
            </w:pPr>
            <w:r w:rsidRPr="001534A8">
              <w:rPr>
                <w:rFonts w:ascii="Garamond" w:hAnsi="Garamond"/>
                <w:sz w:val="20"/>
                <w:szCs w:val="20"/>
              </w:rPr>
              <w:t>Brodnica</w:t>
            </w:r>
          </w:p>
        </w:tc>
      </w:tr>
    </w:tbl>
    <w:p w:rsidR="00567C3E" w:rsidRPr="001534A8" w:rsidRDefault="00567C3E" w:rsidP="00567C3E">
      <w:pPr>
        <w:spacing w:before="120" w:after="0"/>
        <w:jc w:val="both"/>
        <w:rPr>
          <w:rFonts w:ascii="Garamond" w:hAnsi="Garamond"/>
          <w:sz w:val="16"/>
        </w:rPr>
      </w:pPr>
      <w:r w:rsidRPr="001534A8">
        <w:rPr>
          <w:rFonts w:ascii="Garamond" w:hAnsi="Garamond"/>
          <w:sz w:val="16"/>
        </w:rPr>
        <w:t xml:space="preserve">* </w:t>
      </w:r>
      <w:proofErr w:type="spellStart"/>
      <w:r w:rsidRPr="001534A8">
        <w:rPr>
          <w:rFonts w:ascii="Garamond" w:hAnsi="Garamond"/>
          <w:sz w:val="16"/>
        </w:rPr>
        <w:t>RLMa</w:t>
      </w:r>
      <w:proofErr w:type="spellEnd"/>
      <w:r w:rsidRPr="001534A8">
        <w:rPr>
          <w:rFonts w:ascii="Garamond" w:hAnsi="Garamond"/>
          <w:sz w:val="16"/>
        </w:rPr>
        <w:t xml:space="preserve"> – RLM z aglomeracji zgodnie z rozporządzeniem ustanawiającym aglomerację</w:t>
      </w:r>
    </w:p>
    <w:p w:rsidR="00567C3E" w:rsidRPr="001534A8" w:rsidRDefault="00567C3E" w:rsidP="00567C3E">
      <w:pPr>
        <w:spacing w:after="0"/>
        <w:jc w:val="both"/>
        <w:rPr>
          <w:rFonts w:ascii="Garamond" w:hAnsi="Garamond"/>
          <w:sz w:val="16"/>
        </w:rPr>
      </w:pPr>
      <w:r w:rsidRPr="001534A8">
        <w:rPr>
          <w:rFonts w:ascii="Garamond" w:hAnsi="Garamond"/>
          <w:sz w:val="16"/>
        </w:rPr>
        <w:t>**</w:t>
      </w:r>
      <w:proofErr w:type="spellStart"/>
      <w:r w:rsidRPr="001534A8">
        <w:rPr>
          <w:rFonts w:ascii="Garamond" w:hAnsi="Garamond"/>
          <w:sz w:val="16"/>
        </w:rPr>
        <w:t>RLMrz</w:t>
      </w:r>
      <w:proofErr w:type="spellEnd"/>
      <w:r w:rsidRPr="001534A8">
        <w:rPr>
          <w:rFonts w:ascii="Garamond" w:hAnsi="Garamond"/>
          <w:sz w:val="16"/>
        </w:rPr>
        <w:t xml:space="preserve"> – RLM rzeczywiste - rzeczywista równoważna liczba mieszkańców obliczona na podstawie sumy: liczby mieszkańców aglomeracji, wartości RLM pochodzącej od osób czasowo przebywających na terenie aglomeracji (zarejestrowane miejsca noclegowe) oraz wartości RLM pochodzącej z przemysłu występującego na obszarze aglomeracji</w:t>
      </w:r>
    </w:p>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Krajowy Program Oczyszczania Ścieków Komunalnych.</w:t>
      </w:r>
    </w:p>
    <w:p w:rsidR="00567C3E" w:rsidRPr="001534A8" w:rsidRDefault="00567C3E" w:rsidP="00567C3E">
      <w:pPr>
        <w:spacing w:after="120"/>
        <w:ind w:firstLine="709"/>
        <w:jc w:val="both"/>
        <w:rPr>
          <w:rFonts w:ascii="Garamond" w:hAnsi="Garamond" w:cs="Arial"/>
        </w:rPr>
      </w:pPr>
      <w:r w:rsidRPr="001534A8">
        <w:rPr>
          <w:rFonts w:ascii="Garamond" w:hAnsi="Garamond" w:cs="Arial"/>
        </w:rPr>
        <w:t>W 2013 r. na terenie ORSG odprowadzono 129 000 m</w:t>
      </w:r>
      <w:r w:rsidRPr="001534A8">
        <w:rPr>
          <w:rFonts w:ascii="Garamond" w:hAnsi="Garamond" w:cs="Arial"/>
          <w:vertAlign w:val="superscript"/>
        </w:rPr>
        <w:t>3</w:t>
      </w:r>
      <w:r w:rsidRPr="001534A8">
        <w:rPr>
          <w:rFonts w:ascii="Garamond" w:hAnsi="Garamond" w:cs="Arial"/>
        </w:rPr>
        <w:t xml:space="preserve"> ścieków, z czego 69,8% trafiło siecią kanalizacyjną do oczyszczalni ścieków, natomiast pozostała część wpłynęła bezpośrednio do wód lub ziemi</w:t>
      </w:r>
      <w:r w:rsidRPr="001534A8">
        <w:rPr>
          <w:rStyle w:val="Odwoanieprzypisudolnego"/>
          <w:rFonts w:ascii="Garamond" w:hAnsi="Garamond" w:cs="Arial"/>
        </w:rPr>
        <w:footnoteReference w:id="23"/>
      </w:r>
      <w:r w:rsidRPr="001534A8">
        <w:rPr>
          <w:rFonts w:ascii="Garamond" w:hAnsi="Garamond" w:cs="Arial"/>
        </w:rPr>
        <w:t xml:space="preserve">. </w:t>
      </w:r>
    </w:p>
    <w:p w:rsidR="00567C3E" w:rsidRPr="001534A8" w:rsidRDefault="00567C3E" w:rsidP="00567C3E">
      <w:pPr>
        <w:pStyle w:val="T"/>
      </w:pPr>
      <w:bookmarkStart w:id="73" w:name="_Toc430872013"/>
      <w:r w:rsidRPr="001534A8">
        <w:t>Tabela</w:t>
      </w:r>
      <w:r>
        <w:t xml:space="preserve"> 31</w:t>
      </w:r>
      <w:r w:rsidRPr="001534A8">
        <w:t>. Komunalne oczyszczalnie ścieków na terenie OSGR Powiatu Brodnickiego w 2013 r.</w:t>
      </w:r>
      <w:bookmarkEnd w:id="73"/>
    </w:p>
    <w:tbl>
      <w:tblPr>
        <w:tblStyle w:val="Styl1"/>
        <w:tblW w:w="0" w:type="auto"/>
        <w:jc w:val="center"/>
        <w:tblLook w:val="04A0" w:firstRow="1" w:lastRow="0" w:firstColumn="1" w:lastColumn="0" w:noHBand="0" w:noVBand="1"/>
      </w:tblPr>
      <w:tblGrid>
        <w:gridCol w:w="2272"/>
        <w:gridCol w:w="1701"/>
        <w:gridCol w:w="2099"/>
      </w:tblGrid>
      <w:tr w:rsidR="00567C3E" w:rsidRPr="001534A8" w:rsidTr="00D32FA7">
        <w:trPr>
          <w:cnfStyle w:val="100000000000" w:firstRow="1" w:lastRow="0" w:firstColumn="0" w:lastColumn="0" w:oddVBand="0" w:evenVBand="0" w:oddHBand="0" w:evenHBand="0" w:firstRowFirstColumn="0" w:firstRowLastColumn="0" w:lastRowFirstColumn="0" w:lastRowLastColumn="0"/>
          <w:trHeight w:val="227"/>
          <w:jc w:val="center"/>
        </w:trPr>
        <w:tc>
          <w:tcPr>
            <w:tcW w:w="2272" w:type="dxa"/>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Oczyszczalnia</w:t>
            </w:r>
          </w:p>
        </w:tc>
        <w:tc>
          <w:tcPr>
            <w:tcW w:w="1701" w:type="dxa"/>
            <w:tcBorders>
              <w:top w:val="single" w:sz="4" w:space="0" w:color="824BB0"/>
              <w:bottom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Q Recz [tys. m</w:t>
            </w:r>
            <w:r w:rsidRPr="001534A8">
              <w:rPr>
                <w:rFonts w:ascii="Garamond" w:hAnsi="Garamond" w:cs="Arial"/>
                <w:szCs w:val="20"/>
                <w:vertAlign w:val="superscript"/>
              </w:rPr>
              <w:t>3</w:t>
            </w:r>
            <w:r w:rsidRPr="001534A8">
              <w:rPr>
                <w:rFonts w:ascii="Garamond" w:hAnsi="Garamond" w:cs="Arial"/>
                <w:szCs w:val="20"/>
              </w:rPr>
              <w:t>/r]</w:t>
            </w:r>
          </w:p>
        </w:tc>
        <w:tc>
          <w:tcPr>
            <w:tcW w:w="2099" w:type="dxa"/>
            <w:tcBorders>
              <w:top w:val="single" w:sz="4" w:space="0" w:color="824BB0"/>
              <w:bottom w:val="single" w:sz="4" w:space="0" w:color="824BB0"/>
              <w:right w:val="single" w:sz="4" w:space="0" w:color="824BB0"/>
            </w:tcBorders>
            <w:shd w:val="clear" w:color="auto" w:fill="824BB0"/>
          </w:tcPr>
          <w:p w:rsidR="00567C3E" w:rsidRPr="001534A8" w:rsidRDefault="00567C3E" w:rsidP="00D32FA7">
            <w:pPr>
              <w:spacing w:before="40" w:after="40"/>
              <w:rPr>
                <w:rFonts w:ascii="Garamond" w:hAnsi="Garamond" w:cs="Arial"/>
                <w:szCs w:val="20"/>
              </w:rPr>
            </w:pPr>
            <w:r w:rsidRPr="001534A8">
              <w:rPr>
                <w:rFonts w:ascii="Garamond" w:hAnsi="Garamond" w:cs="Arial"/>
                <w:szCs w:val="20"/>
              </w:rPr>
              <w:t>Zlewnia lub odbiornik ścieków</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Bartniczka (Grążawy)</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81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1 922</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Brzozie – ocz. w Jajkowie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24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Drwęca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Górzno</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191</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 xml:space="preserve">Str. </w:t>
            </w:r>
            <w:proofErr w:type="spellStart"/>
            <w:r w:rsidRPr="001534A8">
              <w:rPr>
                <w:rFonts w:ascii="Garamond" w:hAnsi="Garamond" w:cs="Arial"/>
                <w:sz w:val="20"/>
                <w:szCs w:val="20"/>
              </w:rPr>
              <w:t>Górznianka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Jabłonowo Pomorskie</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423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Lutryna</w:t>
            </w:r>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Osiek</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33</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Rypienica</w:t>
            </w:r>
            <w:proofErr w:type="spellEnd"/>
          </w:p>
        </w:tc>
      </w:tr>
      <w:tr w:rsidR="00567C3E" w:rsidRPr="001534A8" w:rsidTr="00D32FA7">
        <w:trPr>
          <w:trHeight w:val="283"/>
          <w:jc w:val="center"/>
        </w:trPr>
        <w:tc>
          <w:tcPr>
            <w:tcW w:w="2272"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r w:rsidRPr="001534A8">
              <w:rPr>
                <w:rFonts w:ascii="Garamond" w:hAnsi="Garamond" w:cs="Arial"/>
                <w:sz w:val="20"/>
                <w:szCs w:val="20"/>
              </w:rPr>
              <w:t>Świedziebnia</w:t>
            </w:r>
          </w:p>
        </w:tc>
        <w:tc>
          <w:tcPr>
            <w:tcW w:w="1701"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right"/>
              <w:rPr>
                <w:rFonts w:ascii="Garamond" w:hAnsi="Garamond" w:cs="Arial"/>
                <w:sz w:val="20"/>
                <w:szCs w:val="20"/>
              </w:rPr>
            </w:pPr>
            <w:r w:rsidRPr="001534A8">
              <w:rPr>
                <w:rFonts w:ascii="Garamond" w:hAnsi="Garamond" w:cs="Arial"/>
                <w:sz w:val="20"/>
                <w:szCs w:val="20"/>
              </w:rPr>
              <w:t>34</w:t>
            </w:r>
          </w:p>
        </w:tc>
        <w:tc>
          <w:tcPr>
            <w:tcW w:w="2099"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left"/>
              <w:rPr>
                <w:rFonts w:ascii="Garamond" w:hAnsi="Garamond" w:cs="Arial"/>
                <w:sz w:val="20"/>
                <w:szCs w:val="20"/>
              </w:rPr>
            </w:pPr>
            <w:proofErr w:type="spellStart"/>
            <w:r w:rsidRPr="001534A8">
              <w:rPr>
                <w:rFonts w:ascii="Garamond" w:hAnsi="Garamond" w:cs="Arial"/>
                <w:sz w:val="20"/>
                <w:szCs w:val="20"/>
              </w:rPr>
              <w:t>Pissa</w:t>
            </w:r>
            <w:proofErr w:type="spellEnd"/>
          </w:p>
        </w:tc>
      </w:tr>
    </w:tbl>
    <w:p w:rsidR="00567C3E" w:rsidRPr="001534A8" w:rsidRDefault="00567C3E" w:rsidP="00567C3E">
      <w:pPr>
        <w:spacing w:before="120" w:after="120"/>
        <w:jc w:val="both"/>
        <w:rPr>
          <w:rFonts w:ascii="Garamond" w:hAnsi="Garamond" w:cs="Arial"/>
          <w:sz w:val="24"/>
          <w:szCs w:val="20"/>
        </w:rPr>
      </w:pPr>
      <w:r w:rsidRPr="001534A8">
        <w:rPr>
          <w:rFonts w:ascii="Garamond" w:hAnsi="Garamond" w:cs="Arial"/>
          <w:sz w:val="20"/>
          <w:szCs w:val="16"/>
        </w:rPr>
        <w:t>Źródło:</w:t>
      </w:r>
      <w:r w:rsidRPr="001534A8">
        <w:rPr>
          <w:rFonts w:ascii="Garamond" w:hAnsi="Garamond" w:cs="Arial"/>
          <w:i/>
          <w:sz w:val="20"/>
          <w:szCs w:val="16"/>
        </w:rPr>
        <w:t xml:space="preserve"> Wojewódzki Inspektorat Ochrony Środowiska w Bydgoszczy, Raport o stanie środowiska województwa kujawsko-pomorskiego w 2013 r.</w:t>
      </w:r>
    </w:p>
    <w:p w:rsidR="00567C3E" w:rsidRPr="001534A8" w:rsidRDefault="00567C3E" w:rsidP="00567C3E">
      <w:pPr>
        <w:ind w:firstLine="708"/>
        <w:jc w:val="both"/>
        <w:rPr>
          <w:rFonts w:ascii="Garamond" w:hAnsi="Garamond"/>
        </w:rPr>
      </w:pPr>
      <w:r w:rsidRPr="001534A8">
        <w:rPr>
          <w:rFonts w:ascii="Garamond" w:hAnsi="Garamond"/>
        </w:rPr>
        <w:lastRenderedPageBreak/>
        <w:t xml:space="preserve">Na terenie </w:t>
      </w:r>
      <w:r>
        <w:rPr>
          <w:rFonts w:ascii="Garamond" w:hAnsi="Garamond"/>
        </w:rPr>
        <w:t>P</w:t>
      </w:r>
      <w:r w:rsidRPr="001534A8">
        <w:rPr>
          <w:rFonts w:ascii="Garamond" w:hAnsi="Garamond"/>
        </w:rPr>
        <w:t xml:space="preserve">owiatu istnieje potrzeba modernizacji i rozwoju infrastruktury kanalizacyjnej, gdyż ok 30% ścieków wytwarzanych na obszarze trafia bezpośrednio do środowiska. Wynika to przede wszystkim z niskiego poziomu skanalizowania części </w:t>
      </w:r>
      <w:r>
        <w:rPr>
          <w:rFonts w:ascii="Garamond" w:hAnsi="Garamond"/>
        </w:rPr>
        <w:t>P</w:t>
      </w:r>
      <w:r w:rsidRPr="001534A8">
        <w:rPr>
          <w:rFonts w:ascii="Garamond" w:hAnsi="Garamond"/>
        </w:rPr>
        <w:t xml:space="preserve">owiatu, gdzie budowa sieci jest technicznie lub ekonomicznie niezasadna. Na tych obszarach należy konsekwentnie rozwijać sieć przydomowych oczyszczalni ścieków. Wszystkie gminy z terenu ORSG w mniejszym lub większym stopniu zidentyfikowały potrzeby w zakresie ich budowy.   </w:t>
      </w:r>
    </w:p>
    <w:p w:rsidR="00567C3E" w:rsidRPr="001534A8" w:rsidRDefault="00567C3E" w:rsidP="00567C3E">
      <w:pPr>
        <w:jc w:val="both"/>
        <w:rPr>
          <w:rFonts w:ascii="Garamond" w:hAnsi="Garamond" w:cs="Arial"/>
          <w:b/>
          <w:color w:val="B1059D"/>
          <w:sz w:val="24"/>
        </w:rPr>
      </w:pPr>
      <w:r w:rsidRPr="001534A8">
        <w:rPr>
          <w:rFonts w:ascii="Garamond" w:hAnsi="Garamond" w:cs="Arial"/>
          <w:b/>
          <w:color w:val="B1059D"/>
          <w:sz w:val="24"/>
        </w:rPr>
        <w:t>Gospodarka odpadami</w:t>
      </w:r>
    </w:p>
    <w:p w:rsidR="00567C3E" w:rsidRPr="001534A8" w:rsidRDefault="00567C3E" w:rsidP="00567C3E">
      <w:pPr>
        <w:spacing w:after="120"/>
        <w:ind w:firstLine="708"/>
        <w:jc w:val="both"/>
        <w:rPr>
          <w:rFonts w:ascii="Garamond" w:hAnsi="Garamond"/>
        </w:rPr>
      </w:pPr>
      <w:r w:rsidRPr="001534A8">
        <w:rPr>
          <w:rFonts w:ascii="Garamond" w:hAnsi="Garamond"/>
        </w:rPr>
        <w:t>W zakresie gospodarki odpadami wyzwaniem, jakie stawia sobie województwo na najbliższe lata jest zapobieganie i minimalizacja ilości wytwarzanych odpadów, wykorzystanie właściwości materiałowych i energetycznych odpadów, zmniejszenie ilości odpadów unieszkodliwianych poprzez składowanie.</w:t>
      </w:r>
    </w:p>
    <w:p w:rsidR="00567C3E" w:rsidRPr="001534A8" w:rsidRDefault="00567C3E" w:rsidP="00567C3E">
      <w:pPr>
        <w:spacing w:after="120"/>
        <w:ind w:firstLine="709"/>
        <w:jc w:val="both"/>
        <w:rPr>
          <w:rFonts w:ascii="Garamond" w:hAnsi="Garamond" w:cs="Arial"/>
        </w:rPr>
      </w:pPr>
      <w:r w:rsidRPr="001534A8">
        <w:rPr>
          <w:rFonts w:ascii="Garamond" w:hAnsi="Garamond" w:cs="Arial"/>
        </w:rPr>
        <w:t xml:space="preserve">Teren ORSG wchodzi w skład dwóch regionów gospodarki odpadami komunalnymi. Do Regionu 2 Chełmińsko-Wąbrzeskiego zaliczono gm. Bobrowo, m. i gm. Jabłonowo Pomorskie, gm. Zbiczno. W skład Regionu 3 Lipnowsko-Rypińskiego weszły pozostałe gminy ORSG – gm. Bartniczka, m. i gm. Brodnica, gm. Brzozie, m. i gm. Górzno, gm. Osiek i gm. Świedziebnia. </w:t>
      </w:r>
    </w:p>
    <w:p w:rsidR="00567C3E" w:rsidRPr="001534A8" w:rsidRDefault="00567C3E" w:rsidP="00567C3E">
      <w:pPr>
        <w:autoSpaceDE w:val="0"/>
        <w:autoSpaceDN w:val="0"/>
        <w:adjustRightInd w:val="0"/>
        <w:spacing w:after="0"/>
        <w:ind w:firstLine="708"/>
        <w:jc w:val="both"/>
        <w:rPr>
          <w:rFonts w:ascii="Garamond" w:hAnsi="Garamond" w:cs="TimesNewRomanPSMT"/>
        </w:rPr>
      </w:pPr>
      <w:r w:rsidRPr="001534A8">
        <w:rPr>
          <w:rFonts w:ascii="Garamond" w:hAnsi="Garamond" w:cs="TimesNewRomanPSMT"/>
        </w:rPr>
        <w:t xml:space="preserve">Na terenie </w:t>
      </w:r>
      <w:r>
        <w:rPr>
          <w:rFonts w:ascii="Garamond" w:hAnsi="Garamond" w:cs="TimesNewRomanPSMT"/>
        </w:rPr>
        <w:t>P</w:t>
      </w:r>
      <w:r w:rsidRPr="001534A8">
        <w:rPr>
          <w:rFonts w:ascii="Garamond" w:hAnsi="Garamond" w:cs="TimesNewRomanPSMT"/>
        </w:rPr>
        <w:t xml:space="preserve">owiatu </w:t>
      </w:r>
      <w:r>
        <w:rPr>
          <w:rFonts w:ascii="Garamond" w:hAnsi="Garamond" w:cs="TimesNewRomanPSMT"/>
        </w:rPr>
        <w:t>B</w:t>
      </w:r>
      <w:r w:rsidRPr="001534A8">
        <w:rPr>
          <w:rFonts w:ascii="Garamond" w:hAnsi="Garamond" w:cs="TimesNewRomanPSMT"/>
        </w:rPr>
        <w:t xml:space="preserve">rodnickiego funkcjonują obecnie 2 składowiska odpadów komunalnych: miejskie w Brodnicy, gminne w </w:t>
      </w:r>
      <w:proofErr w:type="spellStart"/>
      <w:r w:rsidRPr="001534A8">
        <w:rPr>
          <w:rFonts w:ascii="Garamond" w:hAnsi="Garamond" w:cs="TimesNewRomanPSMT"/>
        </w:rPr>
        <w:t>Łapinożu</w:t>
      </w:r>
      <w:proofErr w:type="spellEnd"/>
      <w:r w:rsidRPr="001534A8">
        <w:rPr>
          <w:rFonts w:ascii="Garamond" w:hAnsi="Garamond" w:cs="TimesNewRomanPSMT"/>
        </w:rPr>
        <w:t xml:space="preserve">, gm. Osiek. Istnieje również zamknięte (nieczynne) składowisko w </w:t>
      </w:r>
      <w:proofErr w:type="spellStart"/>
      <w:r w:rsidRPr="001534A8">
        <w:rPr>
          <w:rFonts w:ascii="Garamond" w:hAnsi="Garamond" w:cs="TimesNewRomanPSMT"/>
        </w:rPr>
        <w:t>Miesiączkowie</w:t>
      </w:r>
      <w:proofErr w:type="spellEnd"/>
      <w:r w:rsidRPr="001534A8">
        <w:rPr>
          <w:rFonts w:ascii="Garamond" w:hAnsi="Garamond" w:cs="TimesNewRomanPSMT"/>
        </w:rPr>
        <w:t>, gm. Górzno przewidziane do rekultywacji. Odpady komunalne unieszkodliwiane są na dwóch wyżej wymienionych składowiskach oraz na składowisku w Niedźwiedziu  (powiat wąbrzeski) i w Puszczy Miejskiej (powiat rypiński).</w:t>
      </w:r>
    </w:p>
    <w:p w:rsidR="00567C3E" w:rsidRPr="001534A8" w:rsidRDefault="00567C3E" w:rsidP="00567C3E">
      <w:pPr>
        <w:spacing w:before="120" w:after="120"/>
        <w:jc w:val="both"/>
        <w:rPr>
          <w:rFonts w:ascii="Garamond" w:hAnsi="Garamond" w:cs="Calibri"/>
        </w:rPr>
      </w:pPr>
      <w:r w:rsidRPr="001534A8">
        <w:rPr>
          <w:rFonts w:ascii="Garamond" w:hAnsi="Garamond" w:cs="Calibri"/>
        </w:rPr>
        <w:t xml:space="preserve">W ramach rozwoju systemu gospodarki odpadami na terenie ORSG planuje się następujące inwestycje: </w:t>
      </w:r>
    </w:p>
    <w:p w:rsidR="00567C3E" w:rsidRPr="001534A8" w:rsidRDefault="00567C3E" w:rsidP="00567C3E">
      <w:pPr>
        <w:pStyle w:val="Akapitzlist"/>
        <w:numPr>
          <w:ilvl w:val="0"/>
          <w:numId w:val="12"/>
        </w:numPr>
        <w:rPr>
          <w:rFonts w:ascii="Garamond" w:hAnsi="Garamond" w:cs="Calibri"/>
        </w:rPr>
      </w:pPr>
      <w:r w:rsidRPr="001534A8">
        <w:rPr>
          <w:rFonts w:ascii="Garamond" w:hAnsi="Garamond" w:cs="Calibri"/>
        </w:rPr>
        <w:t>Rekultywacje Składowiska Odpadów innych niż Niebezpieczne i Obojętne zlokalizowanego w Brodnicy</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Stacji przeładunkowej odpadów komunalnych w Brodnicy, na składowisku miejskim</w:t>
      </w:r>
    </w:p>
    <w:p w:rsidR="00567C3E" w:rsidRPr="001534A8" w:rsidRDefault="00567C3E" w:rsidP="00567C3E">
      <w:pPr>
        <w:pStyle w:val="Akapitzlist"/>
        <w:numPr>
          <w:ilvl w:val="0"/>
          <w:numId w:val="12"/>
        </w:numPr>
        <w:jc w:val="both"/>
        <w:rPr>
          <w:rFonts w:ascii="Garamond" w:hAnsi="Garamond" w:cs="Calibri"/>
        </w:rPr>
      </w:pPr>
      <w:r w:rsidRPr="001534A8">
        <w:rPr>
          <w:rFonts w:ascii="Garamond" w:hAnsi="Garamond" w:cs="Calibri"/>
        </w:rPr>
        <w:t>Budowę Punktu Selektywnego Zbierania Odpadów Komunalnych w Brodnicy</w:t>
      </w:r>
    </w:p>
    <w:p w:rsidR="00567C3E" w:rsidRPr="001534A8" w:rsidRDefault="00567C3E" w:rsidP="00567C3E">
      <w:pPr>
        <w:spacing w:after="120"/>
        <w:ind w:firstLine="708"/>
        <w:jc w:val="both"/>
        <w:rPr>
          <w:rFonts w:ascii="Garamond" w:hAnsi="Garamond"/>
        </w:rPr>
      </w:pPr>
      <w:r w:rsidRPr="001534A8">
        <w:rPr>
          <w:rFonts w:ascii="Garamond" w:hAnsi="Garamond"/>
        </w:rPr>
        <w:t>W 2013 r. wielkość odpadów z gospodarstw domowych w przeliczeniu  na 1 mieszkańca ORSG Powiatu Brodnickiego wynosiła 120 kg.</w:t>
      </w:r>
    </w:p>
    <w:p w:rsidR="00567C3E" w:rsidRPr="001534A8" w:rsidRDefault="00567C3E" w:rsidP="00567C3E">
      <w:pPr>
        <w:pStyle w:val="T"/>
      </w:pPr>
      <w:bookmarkStart w:id="74" w:name="_Toc430872014"/>
      <w:r w:rsidRPr="001534A8">
        <w:t xml:space="preserve">Tabela </w:t>
      </w:r>
      <w:r>
        <w:t>32</w:t>
      </w:r>
      <w:r w:rsidRPr="001534A8">
        <w:t>. Odpady z gospodarstw domowych przypadające na 1 mieszkańca w 2013 r.</w:t>
      </w:r>
      <w:bookmarkEnd w:id="74"/>
    </w:p>
    <w:tbl>
      <w:tblPr>
        <w:tblW w:w="359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2148"/>
        <w:gridCol w:w="1450"/>
      </w:tblGrid>
      <w:tr w:rsidR="00567C3E" w:rsidRPr="001534A8" w:rsidTr="00D32FA7">
        <w:trPr>
          <w:trHeight w:val="316"/>
          <w:jc w:val="center"/>
        </w:trPr>
        <w:tc>
          <w:tcPr>
            <w:tcW w:w="2148" w:type="dxa"/>
            <w:tcBorders>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Jednostka terytorialna</w:t>
            </w:r>
          </w:p>
        </w:tc>
        <w:tc>
          <w:tcPr>
            <w:tcW w:w="1450" w:type="dxa"/>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sz w:val="20"/>
                <w:szCs w:val="20"/>
              </w:rPr>
            </w:pPr>
            <w:r w:rsidRPr="001534A8">
              <w:rPr>
                <w:rFonts w:ascii="Garamond" w:eastAsia="Times New Roman" w:hAnsi="Garamond" w:cs="Arial"/>
                <w:bCs/>
                <w:color w:val="FFFFFF"/>
                <w:sz w:val="20"/>
                <w:szCs w:val="20"/>
              </w:rPr>
              <w:t>Odpady w kg</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97,2</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192,8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51,6</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43,8</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52,3</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106,9</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54,1</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64,5</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116,7</w:t>
            </w:r>
          </w:p>
        </w:tc>
      </w:tr>
      <w:tr w:rsidR="00567C3E" w:rsidRPr="001534A8" w:rsidTr="00D32FA7">
        <w:trPr>
          <w:trHeight w:val="255"/>
          <w:jc w:val="center"/>
        </w:trPr>
        <w:tc>
          <w:tcPr>
            <w:tcW w:w="2148" w:type="dxa"/>
            <w:shd w:val="clear" w:color="auto" w:fill="auto"/>
            <w:vAlign w:val="center"/>
            <w:hideMark/>
          </w:tcPr>
          <w:p w:rsidR="00567C3E" w:rsidRPr="001534A8" w:rsidRDefault="00567C3E" w:rsidP="00D32FA7">
            <w:pPr>
              <w:spacing w:beforeLines="40" w:before="96" w:afterLines="40" w:after="96"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450" w:type="dxa"/>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b/>
                <w:sz w:val="20"/>
                <w:szCs w:val="20"/>
              </w:rPr>
            </w:pPr>
            <w:r w:rsidRPr="001534A8">
              <w:rPr>
                <w:rFonts w:ascii="Garamond" w:eastAsia="Times New Roman" w:hAnsi="Garamond" w:cs="Arial"/>
                <w:b/>
                <w:sz w:val="20"/>
                <w:szCs w:val="20"/>
              </w:rPr>
              <w:t>120,0</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before="240" w:after="240"/>
        <w:jc w:val="both"/>
        <w:rPr>
          <w:rFonts w:ascii="Garamond" w:hAnsi="Garamond" w:cs="Arial"/>
          <w:b/>
          <w:color w:val="B1059D"/>
          <w:sz w:val="24"/>
        </w:rPr>
      </w:pP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lastRenderedPageBreak/>
        <w:t xml:space="preserve">Sieć gazowa </w:t>
      </w:r>
    </w:p>
    <w:p w:rsidR="00567C3E" w:rsidRPr="001534A8" w:rsidRDefault="00567C3E" w:rsidP="00567C3E">
      <w:pPr>
        <w:autoSpaceDE w:val="0"/>
        <w:autoSpaceDN w:val="0"/>
        <w:adjustRightInd w:val="0"/>
        <w:spacing w:after="120"/>
        <w:ind w:firstLine="708"/>
        <w:jc w:val="both"/>
        <w:rPr>
          <w:rFonts w:ascii="Garamond" w:hAnsi="Garamond" w:cs="TimesNewRomanPSMT"/>
        </w:rPr>
      </w:pPr>
      <w:r w:rsidRPr="001534A8">
        <w:rPr>
          <w:rFonts w:ascii="Garamond" w:hAnsi="Garamond" w:cs="TimesNewRomanPSMT"/>
        </w:rPr>
        <w:t xml:space="preserve">Na terenie ORSG długość sieci gazowej wynosi 66 400 m. Do gazu sieciowego posiada dostęp niewielu mieszkańców, korzysta z niego jedynie 2,4% ludności miasta Brodnicy. Pozostali mieszkańcy ORSG używają gazu propan-butan dostarczanego w butlach. </w:t>
      </w:r>
    </w:p>
    <w:p w:rsidR="00567C3E" w:rsidRPr="001534A8" w:rsidRDefault="00567C3E" w:rsidP="00567C3E">
      <w:pPr>
        <w:spacing w:after="120"/>
        <w:ind w:firstLine="708"/>
        <w:jc w:val="both"/>
        <w:rPr>
          <w:rFonts w:ascii="Garamond" w:hAnsi="Garamond" w:cs="Arial"/>
        </w:rPr>
      </w:pPr>
      <w:r w:rsidRPr="001534A8">
        <w:rPr>
          <w:rFonts w:ascii="Garamond" w:hAnsi="Garamond" w:cs="Arial"/>
        </w:rPr>
        <w:t xml:space="preserve">Większość gmin położonych na terenie ORSG jest niezgazyfikowana. Największe zainteresowanie gazem, w szczególności jako źródłem energii cieplnej, można zauważyć w mieście Brodnicy oraz na terenach podmiejskich, gdzie intensywnie rozwija się budownictwo mieszkaniowe jednorodzinne. W gminie Osiek dobiegają końca prace nad budową sieci gazowej wysokiego ciśnienia. Natomiast w gminie Brzozie planuje się podłączać budynki użyteczności publicznej do istniejącego gazociągu. Mieszkańcy pozostałych gmin nie wykazują zainteresowania podłączeniem do sieci gazowej. </w:t>
      </w:r>
    </w:p>
    <w:p w:rsidR="00567C3E" w:rsidRPr="001534A8" w:rsidRDefault="00567C3E" w:rsidP="00567C3E">
      <w:pPr>
        <w:spacing w:after="0"/>
        <w:jc w:val="both"/>
        <w:rPr>
          <w:rFonts w:ascii="Garamond" w:hAnsi="Garamond" w:cs="Arial"/>
        </w:rPr>
      </w:pPr>
      <w:r w:rsidRPr="001534A8">
        <w:rPr>
          <w:rFonts w:ascii="Garamond" w:hAnsi="Garamond" w:cs="Arial"/>
        </w:rPr>
        <w:t>Barierami dla rozwoju gazyfikacji na ORSG Powiatu Brodnickiego są m.in.:</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wysokie koszty inwestycyjne</w:t>
      </w:r>
    </w:p>
    <w:p w:rsidR="00567C3E" w:rsidRPr="001534A8" w:rsidRDefault="00567C3E" w:rsidP="00567C3E">
      <w:pPr>
        <w:pStyle w:val="Akapitzlist"/>
        <w:numPr>
          <w:ilvl w:val="0"/>
          <w:numId w:val="11"/>
        </w:numPr>
        <w:spacing w:after="0"/>
        <w:jc w:val="both"/>
        <w:rPr>
          <w:rFonts w:ascii="Garamond" w:hAnsi="Garamond" w:cs="Arial"/>
          <w:strike/>
        </w:rPr>
      </w:pPr>
      <w:r w:rsidRPr="001534A8">
        <w:rPr>
          <w:rFonts w:ascii="Garamond" w:hAnsi="Garamond" w:cs="Arial"/>
        </w:rPr>
        <w:t>ekonomiczna nieopłacalność inwestycji na rozproszonych terenach wiejskich</w:t>
      </w:r>
    </w:p>
    <w:p w:rsidR="00567C3E" w:rsidRPr="001534A8" w:rsidRDefault="00567C3E" w:rsidP="00567C3E">
      <w:pPr>
        <w:pStyle w:val="Akapitzlist"/>
        <w:numPr>
          <w:ilvl w:val="0"/>
          <w:numId w:val="11"/>
        </w:numPr>
        <w:spacing w:after="0"/>
        <w:jc w:val="both"/>
        <w:rPr>
          <w:rFonts w:ascii="Garamond" w:hAnsi="Garamond" w:cs="Arial"/>
        </w:rPr>
      </w:pPr>
      <w:r w:rsidRPr="001534A8">
        <w:rPr>
          <w:rFonts w:ascii="Garamond" w:hAnsi="Garamond" w:cs="Arial"/>
        </w:rPr>
        <w:t>niedostateczna ilość środków finansowych w gminie i zakładach gazowniczych na realizację gazyfikacji gmin</w:t>
      </w:r>
    </w:p>
    <w:p w:rsidR="00567C3E" w:rsidRPr="001534A8" w:rsidRDefault="00567C3E" w:rsidP="00567C3E">
      <w:pPr>
        <w:spacing w:before="240" w:after="240"/>
        <w:jc w:val="both"/>
        <w:rPr>
          <w:rFonts w:ascii="Garamond" w:hAnsi="Garamond" w:cs="Arial"/>
          <w:b/>
          <w:color w:val="B1059D"/>
          <w:sz w:val="24"/>
        </w:rPr>
      </w:pPr>
      <w:r w:rsidRPr="001534A8">
        <w:rPr>
          <w:rFonts w:ascii="Garamond" w:hAnsi="Garamond" w:cs="Arial"/>
          <w:b/>
          <w:color w:val="B1059D"/>
          <w:sz w:val="24"/>
        </w:rPr>
        <w:t xml:space="preserve">Sieć energetyczna </w:t>
      </w:r>
    </w:p>
    <w:p w:rsidR="00567C3E" w:rsidRPr="001534A8" w:rsidRDefault="00567C3E" w:rsidP="00567C3E">
      <w:pPr>
        <w:autoSpaceDE w:val="0"/>
        <w:autoSpaceDN w:val="0"/>
        <w:adjustRightInd w:val="0"/>
        <w:spacing w:after="120"/>
        <w:ind w:firstLine="709"/>
        <w:jc w:val="both"/>
        <w:rPr>
          <w:rFonts w:ascii="Garamond" w:hAnsi="Garamond" w:cs="TimesNewRomanPSMT"/>
        </w:rPr>
      </w:pPr>
      <w:r w:rsidRPr="001534A8">
        <w:rPr>
          <w:rFonts w:ascii="Garamond" w:hAnsi="Garamond" w:cs="TimesNewRomanPSMT"/>
        </w:rPr>
        <w:t>Teren ORSG zaopatrywany jest w energię elektryczną z ogólnokrajowego systemu elektroenergetycznego, poprzez system sieci przesyłowych i rozdzielczych wysokiego i średniego napięcia. Sieć rozdzielcza zaopatrująca bezpośrednich odbiorców rozwinięta jest na poziomie odpowiadającym bieżącym potrzebom.</w:t>
      </w:r>
    </w:p>
    <w:p w:rsidR="00567C3E" w:rsidRPr="001534A8" w:rsidRDefault="00567C3E" w:rsidP="00567C3E">
      <w:pPr>
        <w:spacing w:after="0"/>
        <w:ind w:firstLine="708"/>
        <w:jc w:val="both"/>
        <w:rPr>
          <w:rFonts w:ascii="Garamond" w:hAnsi="Garamond"/>
        </w:rPr>
      </w:pPr>
      <w:r w:rsidRPr="001534A8">
        <w:rPr>
          <w:rFonts w:ascii="Garamond" w:hAnsi="Garamond"/>
        </w:rPr>
        <w:t xml:space="preserve">W latach 2009-2013 liczba odbiorców energii elektrycznej wzrosła o 4,9%. W tym samym czasie zużycie energii zmalało o 1,6%. W 2013 r. gospodarstwa domowe zużyły 60 738 MWh energii elektrycznej. </w:t>
      </w:r>
    </w:p>
    <w:p w:rsidR="00567C3E" w:rsidRPr="001534A8" w:rsidRDefault="00567C3E" w:rsidP="00567C3E">
      <w:pPr>
        <w:pStyle w:val="T"/>
      </w:pPr>
      <w:bookmarkStart w:id="75" w:name="_Toc430872015"/>
      <w:r w:rsidRPr="001534A8">
        <w:t xml:space="preserve">Tabela </w:t>
      </w:r>
      <w:r>
        <w:t>33</w:t>
      </w:r>
      <w:r w:rsidRPr="001534A8">
        <w:t>. Odbiorcy i zużycie energii elektrycznej na terenie ORSG Powiatu Brodnickiego</w:t>
      </w:r>
      <w:bookmarkEnd w:id="7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4A0" w:firstRow="1" w:lastRow="0" w:firstColumn="1" w:lastColumn="0" w:noHBand="0" w:noVBand="1"/>
      </w:tblPr>
      <w:tblGrid>
        <w:gridCol w:w="5643"/>
        <w:gridCol w:w="711"/>
        <w:gridCol w:w="715"/>
        <w:gridCol w:w="715"/>
        <w:gridCol w:w="715"/>
        <w:gridCol w:w="713"/>
      </w:tblGrid>
      <w:tr w:rsidR="00567C3E" w:rsidRPr="001534A8" w:rsidTr="00D32FA7">
        <w:trPr>
          <w:trHeight w:val="255"/>
        </w:trPr>
        <w:tc>
          <w:tcPr>
            <w:tcW w:w="3062" w:type="pct"/>
            <w:tcBorders>
              <w:right w:val="single" w:sz="4" w:space="0" w:color="FFFFFF" w:themeColor="background1"/>
            </w:tcBorders>
            <w:shd w:val="clear" w:color="auto" w:fill="824BB0"/>
            <w:noWrap/>
            <w:vAlign w:val="bottom"/>
            <w:hideMark/>
          </w:tcPr>
          <w:p w:rsidR="00567C3E" w:rsidRPr="001534A8" w:rsidRDefault="00567C3E" w:rsidP="00D32FA7">
            <w:pPr>
              <w:spacing w:before="40" w:after="40" w:line="240" w:lineRule="auto"/>
              <w:rPr>
                <w:rFonts w:ascii="Garamond" w:eastAsia="Times New Roman" w:hAnsi="Garamond" w:cs="Arial"/>
                <w:color w:val="FFFFFF" w:themeColor="background1"/>
                <w:sz w:val="20"/>
                <w:szCs w:val="20"/>
              </w:rPr>
            </w:pPr>
          </w:p>
        </w:tc>
        <w:tc>
          <w:tcPr>
            <w:tcW w:w="386"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2009</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2010</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2011</w:t>
            </w:r>
          </w:p>
        </w:tc>
        <w:tc>
          <w:tcPr>
            <w:tcW w:w="388" w:type="pct"/>
            <w:tcBorders>
              <w:left w:val="single" w:sz="4" w:space="0" w:color="FFFFFF" w:themeColor="background1"/>
              <w:righ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2012</w:t>
            </w:r>
          </w:p>
        </w:tc>
        <w:tc>
          <w:tcPr>
            <w:tcW w:w="387" w:type="pct"/>
            <w:tcBorders>
              <w:left w:val="single" w:sz="4" w:space="0" w:color="FFFFFF" w:themeColor="background1"/>
            </w:tcBorders>
            <w:shd w:val="clear" w:color="auto" w:fill="824BB0"/>
            <w:noWrap/>
            <w:vAlign w:val="center"/>
            <w:hideMark/>
          </w:tcPr>
          <w:p w:rsidR="00567C3E" w:rsidRPr="001534A8" w:rsidRDefault="00567C3E" w:rsidP="00D32FA7">
            <w:pPr>
              <w:spacing w:before="40" w:after="40" w:line="240" w:lineRule="auto"/>
              <w:jc w:val="center"/>
              <w:rPr>
                <w:rFonts w:ascii="Garamond" w:eastAsia="Times New Roman" w:hAnsi="Garamond" w:cs="Arial"/>
                <w:bCs/>
                <w:color w:val="FFFFFF" w:themeColor="background1"/>
                <w:sz w:val="20"/>
                <w:szCs w:val="20"/>
              </w:rPr>
            </w:pPr>
            <w:r w:rsidRPr="001534A8">
              <w:rPr>
                <w:rFonts w:ascii="Garamond" w:eastAsia="Times New Roman" w:hAnsi="Garamond" w:cs="Arial"/>
                <w:bCs/>
                <w:color w:val="FFFFFF" w:themeColor="background1"/>
                <w:sz w:val="20"/>
                <w:szCs w:val="20"/>
              </w:rPr>
              <w:t>2013</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odbiorcy energii elektrycznej na niskim napięciu (gosp. dom.)</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24 290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24 499</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24 780</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24 897</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25 472</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w MWh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61 726</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63 765</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62 857</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64 818</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60 738</w:t>
            </w:r>
          </w:p>
        </w:tc>
      </w:tr>
      <w:tr w:rsidR="00567C3E" w:rsidRPr="001534A8" w:rsidTr="00D32FA7">
        <w:trPr>
          <w:trHeight w:val="255"/>
        </w:trPr>
        <w:tc>
          <w:tcPr>
            <w:tcW w:w="3062" w:type="pct"/>
            <w:shd w:val="clear" w:color="auto" w:fill="auto"/>
            <w:noWrap/>
            <w:vAlign w:val="bottom"/>
            <w:hideMark/>
          </w:tcPr>
          <w:p w:rsidR="00567C3E" w:rsidRPr="001534A8" w:rsidRDefault="00567C3E" w:rsidP="00D32FA7">
            <w:pPr>
              <w:spacing w:before="40" w:after="40" w:line="240" w:lineRule="auto"/>
              <w:rPr>
                <w:rFonts w:ascii="Garamond" w:eastAsia="Times New Roman" w:hAnsi="Garamond" w:cs="Arial"/>
                <w:sz w:val="20"/>
                <w:szCs w:val="20"/>
              </w:rPr>
            </w:pPr>
            <w:r w:rsidRPr="001534A8">
              <w:rPr>
                <w:rFonts w:ascii="Garamond" w:eastAsia="Times New Roman" w:hAnsi="Garamond" w:cs="Arial"/>
                <w:sz w:val="20"/>
                <w:szCs w:val="20"/>
              </w:rPr>
              <w:t>zużycie energii elektrycznej na niskim napięciu na 1 mieszkańca w kWh</w:t>
            </w:r>
          </w:p>
        </w:tc>
        <w:tc>
          <w:tcPr>
            <w:tcW w:w="386"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816,8</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823,4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809,4</w:t>
            </w:r>
          </w:p>
        </w:tc>
        <w:tc>
          <w:tcPr>
            <w:tcW w:w="388"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833,0</w:t>
            </w:r>
          </w:p>
        </w:tc>
        <w:tc>
          <w:tcPr>
            <w:tcW w:w="387" w:type="pct"/>
            <w:shd w:val="clear" w:color="auto" w:fill="auto"/>
            <w:noWrap/>
            <w:vAlign w:val="bottom"/>
            <w:hideMark/>
          </w:tcPr>
          <w:p w:rsidR="00567C3E" w:rsidRPr="001534A8" w:rsidRDefault="00567C3E" w:rsidP="00D32FA7">
            <w:pPr>
              <w:spacing w:before="40" w:after="40" w:line="240" w:lineRule="auto"/>
              <w:jc w:val="right"/>
              <w:rPr>
                <w:rFonts w:ascii="Garamond" w:eastAsia="Times New Roman" w:hAnsi="Garamond" w:cs="Arial"/>
                <w:sz w:val="20"/>
                <w:szCs w:val="20"/>
              </w:rPr>
            </w:pPr>
            <w:r w:rsidRPr="001534A8">
              <w:rPr>
                <w:rFonts w:ascii="Garamond" w:eastAsia="Times New Roman" w:hAnsi="Garamond" w:cs="Arial"/>
                <w:sz w:val="20"/>
                <w:szCs w:val="20"/>
              </w:rPr>
              <w:t>778,6</w:t>
            </w:r>
          </w:p>
        </w:tc>
      </w:tr>
    </w:tbl>
    <w:p w:rsidR="00567C3E" w:rsidRPr="001534A8" w:rsidRDefault="00567C3E" w:rsidP="00567C3E">
      <w:pPr>
        <w:spacing w:before="120" w:after="120"/>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spacing w:after="120"/>
        <w:ind w:firstLine="708"/>
        <w:jc w:val="both"/>
        <w:rPr>
          <w:rFonts w:ascii="Garamond" w:hAnsi="Garamond"/>
        </w:rPr>
      </w:pPr>
      <w:r w:rsidRPr="001534A8">
        <w:rPr>
          <w:rFonts w:ascii="Garamond" w:hAnsi="Garamond"/>
        </w:rPr>
        <w:t xml:space="preserve">Część sieci elektroenergetycznej na terenie ORSG jest w słabym stanie technicznym, wymaga wymiany bądź modernizacji.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transportowa</w:t>
      </w:r>
    </w:p>
    <w:p w:rsidR="00567C3E" w:rsidRPr="001534A8" w:rsidRDefault="00567C3E" w:rsidP="00567C3E">
      <w:pPr>
        <w:spacing w:before="120" w:after="120"/>
        <w:ind w:firstLine="709"/>
        <w:jc w:val="both"/>
        <w:rPr>
          <w:rFonts w:ascii="Garamond" w:hAnsi="Garamond" w:cs="Arial"/>
        </w:rPr>
      </w:pPr>
      <w:r w:rsidRPr="001534A8">
        <w:rPr>
          <w:rFonts w:ascii="Garamond" w:hAnsi="Garamond" w:cs="Arial"/>
        </w:rPr>
        <w:t xml:space="preserve">Do najważniejszych szlaków komunikacyjnych przebiegających przez teren ORSG należy droga krajowa nr 15 (Trzebnica - Gniezno - Toruń - Brodnica - Ostróda). Skomunikowanie ORSG z regionem zapewniają drogi wojewódzkie – nr 544 (Brodnica - Lidzbark 541 - Działdowo 542 - Mława 7 - Przasnysz 57 - Ostrołęka), nr 560 (Brodnica - Rypin - Sierpc 10 - Bielsk 60), nr 543 (Paparzyn 55 - Radzyń Chełmiński 534 - Jabłonowo Pomorskie - </w:t>
      </w:r>
      <w:proofErr w:type="spellStart"/>
      <w:r w:rsidRPr="001534A8">
        <w:rPr>
          <w:rFonts w:ascii="Garamond" w:hAnsi="Garamond" w:cs="Arial"/>
        </w:rPr>
        <w:t>Tywola</w:t>
      </w:r>
      <w:proofErr w:type="spellEnd"/>
      <w:r w:rsidRPr="001534A8">
        <w:rPr>
          <w:rFonts w:ascii="Garamond" w:hAnsi="Garamond" w:cs="Arial"/>
        </w:rPr>
        <w:t xml:space="preserve"> 15). Uzupełnieniem sieci drogowej są drogi powiatowe i gminne. </w:t>
      </w:r>
    </w:p>
    <w:p w:rsidR="00567C3E" w:rsidRPr="001534A8" w:rsidRDefault="00567C3E" w:rsidP="00567C3E">
      <w:pPr>
        <w:spacing w:after="120"/>
        <w:ind w:firstLine="708"/>
        <w:jc w:val="both"/>
        <w:rPr>
          <w:rFonts w:ascii="Garamond" w:hAnsi="Garamond"/>
        </w:rPr>
      </w:pPr>
      <w:r w:rsidRPr="001534A8">
        <w:rPr>
          <w:rFonts w:ascii="Garamond" w:hAnsi="Garamond"/>
        </w:rPr>
        <w:t xml:space="preserve">Przez teren ORSG Powiatu Brodnickiego nie przebiegają drogi lokalne (gminne i powiatowe) zapewniające bezpośrednie połączenia z transeuropejską siecią transportową (TEN-T), portem lotniczym, </w:t>
      </w:r>
      <w:r w:rsidRPr="001534A8">
        <w:rPr>
          <w:rFonts w:ascii="Garamond" w:hAnsi="Garamond"/>
        </w:rPr>
        <w:lastRenderedPageBreak/>
        <w:t xml:space="preserve">terminalami towarowymi, centrami lub platformami logistycznymi lub wypełniające luki w sieci dróg pomiędzy ośrodkami wojewódzkimi czy miastami regionalnymi i </w:t>
      </w:r>
      <w:proofErr w:type="spellStart"/>
      <w:r w:rsidRPr="001534A8">
        <w:rPr>
          <w:rFonts w:ascii="Garamond" w:hAnsi="Garamond"/>
        </w:rPr>
        <w:t>subregionalnymi</w:t>
      </w:r>
      <w:proofErr w:type="spellEnd"/>
      <w:r w:rsidRPr="001534A8">
        <w:rPr>
          <w:rFonts w:ascii="Garamond" w:hAnsi="Garamond"/>
        </w:rPr>
        <w:t>.</w:t>
      </w:r>
    </w:p>
    <w:p w:rsidR="00567C3E" w:rsidRPr="001534A8" w:rsidRDefault="00567C3E" w:rsidP="00567C3E">
      <w:pPr>
        <w:pStyle w:val="T"/>
      </w:pPr>
      <w:bookmarkStart w:id="76" w:name="_Toc430872016"/>
      <w:r w:rsidRPr="001534A8">
        <w:t>Tabela 3</w:t>
      </w:r>
      <w:r>
        <w:t>4</w:t>
      </w:r>
      <w:r w:rsidRPr="001534A8">
        <w:t>. Długość dróg na terenie ORSG Powiatu Brodnickiego</w:t>
      </w:r>
      <w:bookmarkEnd w:id="7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451"/>
        <w:gridCol w:w="1373"/>
        <w:gridCol w:w="1786"/>
        <w:gridCol w:w="1666"/>
        <w:gridCol w:w="1385"/>
      </w:tblGrid>
      <w:tr w:rsidR="00567C3E" w:rsidRPr="001534A8" w:rsidTr="00D32FA7">
        <w:trPr>
          <w:jc w:val="center"/>
        </w:trPr>
        <w:tc>
          <w:tcPr>
            <w:tcW w:w="1451" w:type="dxa"/>
            <w:vMerge w:val="restart"/>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Jednostka terytorialna</w:t>
            </w:r>
          </w:p>
        </w:tc>
        <w:tc>
          <w:tcPr>
            <w:tcW w:w="6210"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Długość dróg w km</w:t>
            </w:r>
          </w:p>
        </w:tc>
      </w:tr>
      <w:tr w:rsidR="00567C3E" w:rsidRPr="001534A8" w:rsidTr="00D32FA7">
        <w:trPr>
          <w:jc w:val="center"/>
        </w:trPr>
        <w:tc>
          <w:tcPr>
            <w:tcW w:w="1451" w:type="dxa"/>
            <w:vMerge/>
            <w:tcBorders>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p>
        </w:tc>
        <w:tc>
          <w:tcPr>
            <w:tcW w:w="1373"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krajowe</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wojewódzkie</w:t>
            </w:r>
          </w:p>
        </w:tc>
        <w:tc>
          <w:tcPr>
            <w:tcW w:w="1666" w:type="dxa"/>
            <w:tcBorders>
              <w:top w:val="single" w:sz="4" w:space="0" w:color="FFFFFF" w:themeColor="background1"/>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Akapitzlist"/>
              <w:spacing w:beforeLines="40" w:before="96" w:afterLines="40" w:after="96"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powiatowe</w:t>
            </w:r>
          </w:p>
        </w:tc>
        <w:tc>
          <w:tcPr>
            <w:tcW w:w="1385" w:type="dxa"/>
            <w:tcBorders>
              <w:top w:val="single" w:sz="4" w:space="0" w:color="FFFFFF" w:themeColor="background1"/>
              <w:left w:val="single" w:sz="4" w:space="0" w:color="FFFFFF" w:themeColor="background1"/>
            </w:tcBorders>
            <w:shd w:val="clear" w:color="auto" w:fill="824BB0"/>
            <w:vAlign w:val="center"/>
          </w:tcPr>
          <w:p w:rsidR="00567C3E" w:rsidRPr="001534A8" w:rsidRDefault="00567C3E" w:rsidP="00D32FA7">
            <w:pPr>
              <w:pStyle w:val="Akapitzlist"/>
              <w:spacing w:before="40" w:after="40" w:line="240" w:lineRule="auto"/>
              <w:ind w:left="0"/>
              <w:jc w:val="center"/>
              <w:rPr>
                <w:rFonts w:ascii="Garamond" w:hAnsi="Garamond"/>
                <w:color w:val="FFFFFF" w:themeColor="background1"/>
                <w:sz w:val="20"/>
              </w:rPr>
            </w:pPr>
            <w:r w:rsidRPr="001534A8">
              <w:rPr>
                <w:rFonts w:ascii="Garamond" w:hAnsi="Garamond"/>
                <w:color w:val="FFFFFF" w:themeColor="background1"/>
                <w:sz w:val="20"/>
              </w:rPr>
              <w:t>Drogi gminne</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Bobrowo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130</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7</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89</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b.d.</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227</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Brzozie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13</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113</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Górzno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31</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Jabłonowo Pomorskie</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12</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53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152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Osiek</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96</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46</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102</w:t>
            </w:r>
          </w:p>
        </w:tc>
      </w:tr>
      <w:tr w:rsidR="00567C3E" w:rsidRPr="001534A8" w:rsidTr="00D32FA7">
        <w:trPr>
          <w:jc w:val="center"/>
        </w:trPr>
        <w:tc>
          <w:tcPr>
            <w:tcW w:w="1451" w:type="dxa"/>
            <w:vAlign w:val="center"/>
          </w:tcPr>
          <w:p w:rsidR="00567C3E" w:rsidRPr="001534A8" w:rsidRDefault="00567C3E" w:rsidP="00D32FA7">
            <w:pPr>
              <w:spacing w:before="40" w:after="40" w:line="240" w:lineRule="auto"/>
              <w:contextualSpacing/>
              <w:rPr>
                <w:rFonts w:ascii="Garamond" w:eastAsia="Times New Roman" w:hAnsi="Garamond" w:cs="Arial"/>
                <w:sz w:val="20"/>
                <w:szCs w:val="20"/>
              </w:rPr>
            </w:pPr>
            <w:r w:rsidRPr="001534A8">
              <w:rPr>
                <w:rFonts w:ascii="Garamond" w:eastAsia="Times New Roman" w:hAnsi="Garamond" w:cs="Arial"/>
                <w:sz w:val="20"/>
                <w:szCs w:val="20"/>
              </w:rPr>
              <w:t>Zbiczno</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0</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63</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sz w:val="20"/>
              </w:rPr>
            </w:pPr>
            <w:r w:rsidRPr="001534A8">
              <w:rPr>
                <w:rFonts w:ascii="Garamond" w:hAnsi="Garamond"/>
                <w:sz w:val="20"/>
              </w:rPr>
              <w:t>208</w:t>
            </w:r>
          </w:p>
        </w:tc>
      </w:tr>
      <w:tr w:rsidR="00567C3E" w:rsidRPr="001534A8" w:rsidTr="00D32FA7">
        <w:trPr>
          <w:jc w:val="center"/>
        </w:trPr>
        <w:tc>
          <w:tcPr>
            <w:tcW w:w="1451" w:type="dxa"/>
            <w:vAlign w:val="center"/>
          </w:tcPr>
          <w:p w:rsidR="00567C3E" w:rsidRPr="001534A8" w:rsidRDefault="00567C3E" w:rsidP="00D32FA7">
            <w:pPr>
              <w:spacing w:after="0" w:line="240" w:lineRule="auto"/>
              <w:contextualSpacing/>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373"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39</w:t>
            </w:r>
          </w:p>
        </w:tc>
        <w:tc>
          <w:tcPr>
            <w:tcW w:w="178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54</w:t>
            </w:r>
          </w:p>
        </w:tc>
        <w:tc>
          <w:tcPr>
            <w:tcW w:w="1666"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385</w:t>
            </w:r>
          </w:p>
        </w:tc>
        <w:tc>
          <w:tcPr>
            <w:tcW w:w="1385" w:type="dxa"/>
            <w:vAlign w:val="center"/>
          </w:tcPr>
          <w:p w:rsidR="00567C3E" w:rsidRPr="001534A8" w:rsidRDefault="00567C3E" w:rsidP="00D32FA7">
            <w:pPr>
              <w:pStyle w:val="Akapitzlist"/>
              <w:spacing w:before="40" w:after="40" w:line="240" w:lineRule="auto"/>
              <w:ind w:left="0"/>
              <w:jc w:val="right"/>
              <w:rPr>
                <w:rFonts w:ascii="Garamond" w:hAnsi="Garamond"/>
                <w:b/>
                <w:sz w:val="20"/>
              </w:rPr>
            </w:pPr>
            <w:r w:rsidRPr="001534A8">
              <w:rPr>
                <w:rFonts w:ascii="Garamond" w:hAnsi="Garamond"/>
                <w:b/>
                <w:sz w:val="20"/>
              </w:rPr>
              <w:t>1 371</w:t>
            </w:r>
          </w:p>
        </w:tc>
      </w:tr>
    </w:tbl>
    <w:p w:rsidR="00567C3E" w:rsidRPr="001534A8" w:rsidRDefault="00567C3E" w:rsidP="00567C3E">
      <w:pPr>
        <w:spacing w:before="120" w:after="120"/>
        <w:jc w:val="both"/>
        <w:rPr>
          <w:rFonts w:ascii="Garamond" w:hAnsi="Garamond" w:cs="Arial"/>
          <w:sz w:val="20"/>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CC0604" w:rsidRDefault="00567C3E" w:rsidP="00567C3E">
      <w:pPr>
        <w:spacing w:after="120"/>
        <w:ind w:firstLine="708"/>
        <w:jc w:val="both"/>
        <w:rPr>
          <w:rFonts w:ascii="Garamond" w:hAnsi="Garamond"/>
        </w:rPr>
      </w:pPr>
      <w:r w:rsidRPr="001534A8">
        <w:rPr>
          <w:rFonts w:ascii="Garamond" w:hAnsi="Garamond"/>
        </w:rPr>
        <w:t>Obszar Rozwoju Społeczno-Gospodarczego posiada niewystarczającą sieć drogową co przekłada się na jego słabe skomunikowanie z regionem, a także krajem. Konieczne jest lepsze zintegrowanie komunikacyjne terenu z największymi miastami województwa – Bydgoszczą i Toruniem. Problem widoczny jest nie tylko jeśli chodzi o braki w infrastrukturze transportowej, poprawy wymaga również stan techniczny istniejących dróg, rozpoczynając od drogi krajowej DK15</w:t>
      </w:r>
      <w:r w:rsidRPr="00CC0604">
        <w:rPr>
          <w:rFonts w:ascii="Garamond" w:hAnsi="Garamond"/>
        </w:rPr>
        <w:t xml:space="preserve">, przez drogę wojewódzką nr 544 na odcinku Brodnica-Działdowo oraz znaczną część dróg powiatowych i gminnych. </w:t>
      </w:r>
    </w:p>
    <w:p w:rsidR="00567C3E" w:rsidRPr="00CC0604" w:rsidRDefault="00567C3E" w:rsidP="00567C3E">
      <w:pPr>
        <w:spacing w:after="120"/>
        <w:ind w:firstLine="708"/>
        <w:jc w:val="both"/>
        <w:rPr>
          <w:rFonts w:ascii="Garamond" w:hAnsi="Garamond" w:cs="Arial"/>
        </w:rPr>
      </w:pPr>
      <w:r w:rsidRPr="00CC0604">
        <w:rPr>
          <w:rFonts w:ascii="Garamond" w:hAnsi="Garamond"/>
        </w:rPr>
        <w:t xml:space="preserve">W trakcie jest budowa obwodnicy miasta Brodnicy, mająca na celu </w:t>
      </w:r>
      <w:r w:rsidRPr="00CC0604">
        <w:rPr>
          <w:rFonts w:ascii="Garamond" w:hAnsi="Garamond" w:cs="Arial"/>
        </w:rPr>
        <w:t xml:space="preserve">usprawnienie przejazdu drogą krajową nr 15 oraz wyprowadzenie ruchu, w tym ciężarowego, poza obszar intensywnego zabudowania. </w:t>
      </w:r>
    </w:p>
    <w:p w:rsidR="00567C3E" w:rsidRPr="00CC0604" w:rsidRDefault="00567C3E" w:rsidP="00567C3E">
      <w:pPr>
        <w:spacing w:after="120"/>
        <w:ind w:firstLine="708"/>
        <w:jc w:val="both"/>
        <w:rPr>
          <w:rFonts w:ascii="Garamond" w:hAnsi="Garamond"/>
        </w:rPr>
      </w:pPr>
      <w:r w:rsidRPr="00CC0604">
        <w:rPr>
          <w:rFonts w:ascii="Garamond" w:hAnsi="Garamond"/>
        </w:rPr>
        <w:t>Właściwie wszystkie samorządy zgłaszają potrzeby w zakresie modernizacji dróg krajowych, wojewódzkich, powiatowych i gminnych. Część z nich zostało przebudowanych ze środków unijnych w poprzednich okresach programowania, jednak stopień przeprowadzonych inwestycji w tym zakresie nie jest wystarczający, jednostki samorządu terytorialnego nadal identyfikują liczne potrzeby remontów dróg.</w:t>
      </w:r>
    </w:p>
    <w:p w:rsidR="00567C3E" w:rsidRPr="00CC0604" w:rsidRDefault="00567C3E" w:rsidP="00567C3E">
      <w:pPr>
        <w:spacing w:after="120"/>
        <w:ind w:firstLine="708"/>
        <w:jc w:val="both"/>
        <w:rPr>
          <w:rFonts w:ascii="Garamond" w:hAnsi="Garamond"/>
          <w:b/>
          <w:sz w:val="20"/>
        </w:rPr>
      </w:pPr>
      <w:r w:rsidRPr="00CC0604">
        <w:rPr>
          <w:rFonts w:ascii="Garamond" w:hAnsi="Garamond"/>
          <w:b/>
          <w:sz w:val="20"/>
        </w:rPr>
        <w:t xml:space="preserve">Numery oraz nazwy odcinków dróg powiatowych i gminnych wymagających rozbudowy/ przebudowy/ modernizacji znajdują się w załączniku nr 16 do Strategii. </w:t>
      </w:r>
    </w:p>
    <w:p w:rsidR="00567C3E" w:rsidRDefault="00567C3E" w:rsidP="00567C3E">
      <w:pPr>
        <w:tabs>
          <w:tab w:val="left" w:pos="7905"/>
        </w:tabs>
        <w:ind w:firstLine="709"/>
        <w:jc w:val="both"/>
        <w:rPr>
          <w:rFonts w:ascii="Garamond" w:hAnsi="Garamond"/>
        </w:rPr>
      </w:pPr>
      <w:r w:rsidRPr="00CC0604">
        <w:rPr>
          <w:rFonts w:ascii="Garamond" w:hAnsi="Garamond"/>
        </w:rPr>
        <w:t>Ponadto samorządy zgłaszają zapotrzebowanie na wymianę istniejącego oświetlenia ulicznego na energooszczędne. Na terenie gminy Zbiczno zamontowane są 92 lampy rtęciowe wymagające modernizacji. W gminie Bobrowo planuje się zastąpić istniejące oświetlenie 190 lampami hybrydowymi.    Władze widzą korzyści płynące z wykorzystywania instalacji energooszczędnych, które będą miały przełożenie nie tylko na wymierne korzyści finansowe, ale ich wprowadzenie wpłynie także m. in. na zwiększenie bezpieczeństwa mieszkańców (poprawa widoczności po zmroku) oraz zmniejszenie zużycia energii elektrycznej. W części gmin powiatu brodnickiego zamontowano już lampy solarne wykorzystujące odnawialną energię słońca.</w:t>
      </w:r>
      <w:r>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Transport publiczny</w:t>
      </w:r>
    </w:p>
    <w:p w:rsidR="00567C3E" w:rsidRPr="001534A8" w:rsidRDefault="00567C3E" w:rsidP="00567C3E">
      <w:pPr>
        <w:ind w:firstLine="708"/>
        <w:jc w:val="both"/>
        <w:rPr>
          <w:rFonts w:ascii="Garamond" w:hAnsi="Garamond"/>
        </w:rPr>
      </w:pPr>
      <w:r w:rsidRPr="001534A8">
        <w:rPr>
          <w:rFonts w:ascii="Garamond" w:hAnsi="Garamond"/>
        </w:rPr>
        <w:t xml:space="preserve">Transport publiczny na terenie ORSG Powiatu Brodnickiego realizowany jest przez komunikację autobusową oraz transport kolejowy. </w:t>
      </w:r>
    </w:p>
    <w:p w:rsidR="00567C3E" w:rsidRPr="001534A8" w:rsidRDefault="00567C3E" w:rsidP="00567C3E">
      <w:pPr>
        <w:spacing w:after="120"/>
        <w:ind w:firstLine="708"/>
        <w:jc w:val="both"/>
        <w:rPr>
          <w:rFonts w:ascii="Garamond" w:hAnsi="Garamond"/>
        </w:rPr>
      </w:pPr>
      <w:r w:rsidRPr="001534A8">
        <w:rPr>
          <w:rFonts w:ascii="Garamond" w:hAnsi="Garamond"/>
        </w:rPr>
        <w:lastRenderedPageBreak/>
        <w:t xml:space="preserve">Jedynym miastem Powiatu oferującym miejski transport zbiorowy jest Brodnica. Składa się on z 5 linii autobusowych: 1, 2, 3, 4, 5. Obsługuje je Przedsiębiorstwo Gospodarki Komunalnej Sp. z o.o. Tabor komunikacji miejskiej liczy 10 pojazdów. Autobusy, ze względu na swój wiek, nie są w najlepszym stanie technicznym. Wymagają bieżących remontów i napraw. W celu poprawy bezpieczeństwa oraz zwiększenia komfortu jazdy pasażerów należałoby zakupić nowe pojazdy. Ekologiczne oraz energooszczędne autobusy zmniejszyłyby zanieczyszczenie środowiska, a także pozwoliłyby obniżyć koszty eksploatacji pojazdów. W Brodnicy zdiagnozowano także </w:t>
      </w:r>
      <w:bookmarkStart w:id="77" w:name="_Hlk418850058"/>
      <w:r w:rsidRPr="001534A8">
        <w:rPr>
          <w:rFonts w:ascii="Garamond" w:hAnsi="Garamond"/>
        </w:rPr>
        <w:t>potrzeby w zakresie budowy i uruchomienia inteligentnego systemu zarządzania parkingami.</w:t>
      </w:r>
    </w:p>
    <w:bookmarkEnd w:id="77"/>
    <w:p w:rsidR="00567C3E" w:rsidRPr="001534A8" w:rsidRDefault="00567C3E" w:rsidP="00567C3E">
      <w:pPr>
        <w:spacing w:before="40" w:after="40"/>
        <w:ind w:firstLine="708"/>
        <w:jc w:val="both"/>
        <w:rPr>
          <w:rFonts w:ascii="Garamond" w:hAnsi="Garamond"/>
          <w:szCs w:val="20"/>
        </w:rPr>
      </w:pPr>
      <w:r w:rsidRPr="001534A8">
        <w:rPr>
          <w:rFonts w:ascii="Garamond" w:hAnsi="Garamond"/>
          <w:szCs w:val="20"/>
        </w:rPr>
        <w:t xml:space="preserve">Na terenie ORSG Powiatu Brodnickiego usługi w zakresie międzygminnego transportu publicznego świadczy Kujawsko-Pomorski Transport Samochodowy w S. A. O/Brodnica. </w:t>
      </w:r>
    </w:p>
    <w:p w:rsidR="00567C3E" w:rsidRPr="001534A8" w:rsidRDefault="00567C3E" w:rsidP="00567C3E">
      <w:pPr>
        <w:spacing w:after="120"/>
        <w:ind w:firstLine="708"/>
        <w:jc w:val="both"/>
        <w:rPr>
          <w:rFonts w:ascii="Garamond" w:hAnsi="Garamond"/>
        </w:rPr>
      </w:pPr>
      <w:r w:rsidRPr="001534A8">
        <w:rPr>
          <w:rFonts w:ascii="Garamond" w:hAnsi="Garamond"/>
        </w:rPr>
        <w:t xml:space="preserve">Główny węzeł kolejowy znajduje się na terenie miasta Jabłonowo Pomorskie, przez które biegnie linia nr 353 o znaczeniu państwowym: Poznań – Toruń – Jabłonowo Pomorskie – Iława – Olsztyn – Białystok oraz linia lokalna nr 208: Laskowice – Grudziądz – Jabłonowo Pomorskie – Brodnica – Działdowo. Przez teren ORSG przebiega także linia nr 33: Kutno – Płock – Sierpc – Rypin – Brodnica. </w:t>
      </w:r>
    </w:p>
    <w:p w:rsidR="00567C3E" w:rsidRPr="001534A8" w:rsidRDefault="00567C3E" w:rsidP="00567C3E">
      <w:pPr>
        <w:spacing w:after="120"/>
        <w:ind w:firstLine="708"/>
        <w:jc w:val="both"/>
        <w:rPr>
          <w:rFonts w:ascii="Garamond" w:hAnsi="Garamond"/>
        </w:rPr>
      </w:pPr>
      <w:r w:rsidRPr="001534A8">
        <w:rPr>
          <w:rFonts w:ascii="Garamond" w:hAnsi="Garamond"/>
        </w:rPr>
        <w:t>W Powiecie jedyny czynny dworzec kolejowy znajduje się w Jabłonowie Pomorskim</w:t>
      </w:r>
      <w:r w:rsidRPr="001534A8">
        <w:rPr>
          <w:rStyle w:val="Odwoanieprzypisudolnego"/>
          <w:rFonts w:ascii="Garamond" w:hAnsi="Garamond"/>
        </w:rPr>
        <w:footnoteReference w:id="24"/>
      </w:r>
      <w:r w:rsidRPr="001534A8">
        <w:rPr>
          <w:rFonts w:ascii="Garamond" w:hAnsi="Garamond"/>
        </w:rPr>
        <w:t>. Nieczynne stacje kolejowe położone są w mieście Brodnicy, Radoszkach (gm. Bartniczka), Tamie Brodzkiej (gm. Brodnica) i Buku Pomorskim (gm. Jabłonowo Pomorskie).</w:t>
      </w:r>
    </w:p>
    <w:p w:rsidR="00567C3E" w:rsidRPr="001534A8" w:rsidRDefault="00567C3E" w:rsidP="00567C3E">
      <w:pPr>
        <w:spacing w:after="120"/>
        <w:ind w:firstLine="708"/>
        <w:jc w:val="both"/>
        <w:rPr>
          <w:rFonts w:ascii="Garamond" w:hAnsi="Garamond"/>
        </w:rPr>
      </w:pPr>
      <w:r w:rsidRPr="00CC0604">
        <w:rPr>
          <w:rFonts w:ascii="Garamond" w:hAnsi="Garamond"/>
        </w:rPr>
        <w:t>Transport publiczny na terenie ORSG nie jest zbyt dobrze rozwinięty, co wpływa niekorzystnie na jego zintegrowanie z największymi miastami regionu. Brakuje szybkich i dogodnych połączeń z głównymi ośrodkami regionu. Największy problem sprawia to osobom dojeżdżającym do pracy i szkoły, które na co dzień odczuwają związane z tym niedogodności oraz osobom starszym i niepełnosprawnym chcącym skorzystać z usług jednostek świadczących specjalistyczną opiekę zdrowotną.</w:t>
      </w:r>
      <w:r>
        <w:rPr>
          <w:rFonts w:ascii="Garamond" w:hAnsi="Garamond"/>
        </w:rPr>
        <w:t xml:space="preserve">  </w:t>
      </w:r>
      <w:r w:rsidRPr="001534A8">
        <w:rPr>
          <w:rFonts w:ascii="Garamond" w:hAnsi="Garamond"/>
        </w:rPr>
        <w:t xml:space="preserve"> </w:t>
      </w:r>
    </w:p>
    <w:p w:rsidR="00567C3E" w:rsidRPr="001534A8" w:rsidRDefault="00567C3E" w:rsidP="00567C3E">
      <w:pPr>
        <w:spacing w:before="240" w:after="240"/>
        <w:rPr>
          <w:rFonts w:ascii="Garamond" w:hAnsi="Garamond" w:cs="Arial"/>
          <w:b/>
          <w:color w:val="B1059D"/>
          <w:sz w:val="24"/>
        </w:rPr>
      </w:pPr>
      <w:r w:rsidRPr="001534A8">
        <w:rPr>
          <w:rFonts w:ascii="Garamond" w:hAnsi="Garamond" w:cs="Arial"/>
          <w:b/>
          <w:color w:val="B1059D"/>
          <w:sz w:val="24"/>
        </w:rPr>
        <w:t>Infrastruktura teleinformatyczna</w:t>
      </w:r>
    </w:p>
    <w:p w:rsidR="00567C3E" w:rsidRPr="001534A8" w:rsidRDefault="00567C3E" w:rsidP="00567C3E">
      <w:pPr>
        <w:spacing w:after="120"/>
        <w:ind w:firstLine="708"/>
        <w:jc w:val="both"/>
        <w:rPr>
          <w:rFonts w:ascii="Garamond" w:hAnsi="Garamond"/>
          <w:bCs/>
        </w:rPr>
      </w:pPr>
      <w:r w:rsidRPr="001534A8">
        <w:rPr>
          <w:rFonts w:ascii="Garamond" w:hAnsi="Garamond"/>
          <w:bCs/>
        </w:rPr>
        <w:t xml:space="preserve">Spośród 232 miejscowości znajdujących się na terenie ORSG Powiatu Brodnickiego, 47 posiada dostęp do sieci światłowodowych. Odsetek pokrycia powierzchni </w:t>
      </w:r>
      <w:r>
        <w:rPr>
          <w:rFonts w:ascii="Garamond" w:hAnsi="Garamond"/>
          <w:bCs/>
        </w:rPr>
        <w:t>P</w:t>
      </w:r>
      <w:r w:rsidRPr="001534A8">
        <w:rPr>
          <w:rFonts w:ascii="Garamond" w:hAnsi="Garamond"/>
          <w:bCs/>
        </w:rPr>
        <w:t>owiatu siecią światłowodową wynosi 20% i jest wyższy niż wskaźnik dla województwa (14%) i kraju (16%).</w:t>
      </w:r>
    </w:p>
    <w:p w:rsidR="00567C3E" w:rsidRPr="001534A8" w:rsidRDefault="00567C3E" w:rsidP="00567C3E">
      <w:pPr>
        <w:pStyle w:val="T"/>
      </w:pPr>
      <w:bookmarkStart w:id="78" w:name="_Toc430872017"/>
      <w:r w:rsidRPr="001534A8">
        <w:t>Tabela 3</w:t>
      </w:r>
      <w:r>
        <w:t>5</w:t>
      </w:r>
      <w:r w:rsidRPr="001534A8">
        <w:t>. Pokrycie Powiatu Brodnickiego infrastrukturą telekomunikacyjną w 2013 r.</w:t>
      </w:r>
      <w:bookmarkEnd w:id="78"/>
    </w:p>
    <w:tbl>
      <w:tblPr>
        <w:tblStyle w:val="Tabela-Siatka"/>
        <w:tblW w:w="9522"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ayout w:type="fixed"/>
        <w:tblLook w:val="04A0" w:firstRow="1" w:lastRow="0" w:firstColumn="1" w:lastColumn="0" w:noHBand="0" w:noVBand="1"/>
      </w:tblPr>
      <w:tblGrid>
        <w:gridCol w:w="1384"/>
        <w:gridCol w:w="1276"/>
        <w:gridCol w:w="1559"/>
        <w:gridCol w:w="1418"/>
        <w:gridCol w:w="1984"/>
        <w:gridCol w:w="1901"/>
      </w:tblGrid>
      <w:tr w:rsidR="00567C3E" w:rsidRPr="001534A8" w:rsidTr="00D32FA7">
        <w:tc>
          <w:tcPr>
            <w:tcW w:w="1384" w:type="dxa"/>
            <w:tcBorders>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1276"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w:t>
            </w:r>
          </w:p>
        </w:tc>
        <w:tc>
          <w:tcPr>
            <w:tcW w:w="1559"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zakończeniem sieci światłowodowej</w:t>
            </w:r>
          </w:p>
        </w:tc>
        <w:tc>
          <w:tcPr>
            <w:tcW w:w="1418"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węzłami telekomunikacyjnymi</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dostępowymi węzłami telekomunikacyjnymi</w:t>
            </w:r>
          </w:p>
        </w:tc>
        <w:tc>
          <w:tcPr>
            <w:tcW w:w="190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color w:val="FFFFFF" w:themeColor="background1"/>
                <w:sz w:val="20"/>
                <w:szCs w:val="20"/>
              </w:rPr>
            </w:pPr>
            <w:r w:rsidRPr="001534A8">
              <w:rPr>
                <w:rFonts w:ascii="Garamond" w:hAnsi="Garamond"/>
                <w:color w:val="FFFFFF" w:themeColor="background1"/>
                <w:sz w:val="20"/>
                <w:szCs w:val="20"/>
              </w:rPr>
              <w:t>Liczba miejscowości z zasięgiem sieci kablowych lub terminalami radiowymi</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5</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13</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14</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27</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12</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20</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23</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9</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17</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21</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19</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lastRenderedPageBreak/>
              <w:t>Zbiczno</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4</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18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sz w:val="20"/>
                <w:szCs w:val="20"/>
              </w:rPr>
            </w:pPr>
            <w:r w:rsidRPr="001534A8">
              <w:rPr>
                <w:rFonts w:ascii="Garamond" w:hAnsi="Garamond"/>
                <w:sz w:val="20"/>
                <w:szCs w:val="20"/>
              </w:rPr>
              <w:t>31</w:t>
            </w:r>
          </w:p>
        </w:tc>
      </w:tr>
      <w:tr w:rsidR="00567C3E" w:rsidRPr="001534A8" w:rsidTr="00D32FA7">
        <w:tc>
          <w:tcPr>
            <w:tcW w:w="1384" w:type="dxa"/>
            <w:shd w:val="clear" w:color="auto" w:fill="FFFFFF" w:themeFill="background1"/>
          </w:tcPr>
          <w:p w:rsidR="00567C3E" w:rsidRPr="001534A8" w:rsidRDefault="00567C3E" w:rsidP="00D32FA7">
            <w:pPr>
              <w:spacing w:before="40" w:after="40"/>
              <w:rPr>
                <w:rFonts w:ascii="Garamond" w:eastAsia="Times New Roman" w:hAnsi="Garamond" w:cs="Arial"/>
                <w:b/>
                <w:sz w:val="20"/>
                <w:szCs w:val="20"/>
              </w:rPr>
            </w:pPr>
            <w:r w:rsidRPr="001534A8">
              <w:rPr>
                <w:rFonts w:ascii="Garamond" w:eastAsia="Times New Roman" w:hAnsi="Garamond" w:cs="Arial"/>
                <w:b/>
                <w:sz w:val="20"/>
                <w:szCs w:val="20"/>
              </w:rPr>
              <w:t>ORSG</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232</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47</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148</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91</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156</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Kujawsko-Pomorskie</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3 754</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512</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2 821</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1 416</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3 343</w:t>
            </w:r>
          </w:p>
        </w:tc>
      </w:tr>
      <w:tr w:rsidR="00567C3E" w:rsidRPr="001534A8" w:rsidTr="00D32FA7">
        <w:tc>
          <w:tcPr>
            <w:tcW w:w="1384" w:type="dxa"/>
            <w:shd w:val="clear" w:color="auto" w:fill="FFFFFF" w:themeFill="background1"/>
            <w:vAlign w:val="center"/>
          </w:tcPr>
          <w:p w:rsidR="00567C3E" w:rsidRPr="001534A8" w:rsidRDefault="00567C3E" w:rsidP="00D32FA7">
            <w:pPr>
              <w:spacing w:before="40" w:after="40"/>
              <w:rPr>
                <w:rFonts w:ascii="Garamond" w:hAnsi="Garamond"/>
                <w:b/>
                <w:sz w:val="20"/>
                <w:szCs w:val="20"/>
              </w:rPr>
            </w:pPr>
            <w:r w:rsidRPr="001534A8">
              <w:rPr>
                <w:rFonts w:ascii="Garamond" w:hAnsi="Garamond"/>
                <w:b/>
                <w:sz w:val="20"/>
                <w:szCs w:val="20"/>
              </w:rPr>
              <w:t>Polska</w:t>
            </w:r>
          </w:p>
        </w:tc>
        <w:tc>
          <w:tcPr>
            <w:tcW w:w="1276"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55 049</w:t>
            </w:r>
          </w:p>
        </w:tc>
        <w:tc>
          <w:tcPr>
            <w:tcW w:w="1559"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9 065</w:t>
            </w:r>
          </w:p>
        </w:tc>
        <w:tc>
          <w:tcPr>
            <w:tcW w:w="1418"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40 096</w:t>
            </w:r>
          </w:p>
        </w:tc>
        <w:tc>
          <w:tcPr>
            <w:tcW w:w="1984"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18 615</w:t>
            </w:r>
          </w:p>
        </w:tc>
        <w:tc>
          <w:tcPr>
            <w:tcW w:w="1901" w:type="dxa"/>
            <w:shd w:val="clear" w:color="auto" w:fill="FFFFFF" w:themeFill="background1"/>
            <w:vAlign w:val="center"/>
          </w:tcPr>
          <w:p w:rsidR="00567C3E" w:rsidRPr="001534A8" w:rsidRDefault="00567C3E" w:rsidP="00D32FA7">
            <w:pPr>
              <w:spacing w:before="40" w:after="40"/>
              <w:jc w:val="right"/>
              <w:rPr>
                <w:rFonts w:ascii="Garamond" w:hAnsi="Garamond"/>
                <w:b/>
                <w:sz w:val="20"/>
                <w:szCs w:val="20"/>
              </w:rPr>
            </w:pPr>
            <w:r w:rsidRPr="001534A8">
              <w:rPr>
                <w:rFonts w:ascii="Garamond" w:hAnsi="Garamond"/>
                <w:b/>
                <w:sz w:val="20"/>
                <w:szCs w:val="20"/>
              </w:rPr>
              <w:t>49 419</w:t>
            </w:r>
          </w:p>
        </w:tc>
      </w:tr>
    </w:tbl>
    <w:p w:rsidR="00567C3E" w:rsidRPr="001534A8" w:rsidRDefault="00567C3E" w:rsidP="00567C3E">
      <w:pPr>
        <w:spacing w:before="120" w:after="120"/>
        <w:rPr>
          <w:rFonts w:ascii="Garamond" w:hAnsi="Garamond"/>
          <w:i/>
          <w:iCs/>
          <w:sz w:val="20"/>
          <w:szCs w:val="20"/>
        </w:rPr>
      </w:pPr>
      <w:r w:rsidRPr="001534A8">
        <w:rPr>
          <w:rFonts w:ascii="Garamond" w:hAnsi="Garamond"/>
          <w:iCs/>
          <w:sz w:val="20"/>
          <w:szCs w:val="20"/>
        </w:rPr>
        <w:t>Źródło:</w:t>
      </w:r>
      <w:r w:rsidRPr="001534A8">
        <w:rPr>
          <w:rFonts w:ascii="Garamond" w:hAnsi="Garamond"/>
          <w:i/>
          <w:iCs/>
          <w:sz w:val="20"/>
          <w:szCs w:val="20"/>
        </w:rPr>
        <w:t xml:space="preserve"> Opracowanie własne na podstawie danych Urzędu Komunikacji Elektronicznej.</w:t>
      </w:r>
    </w:p>
    <w:p w:rsidR="00567C3E" w:rsidRPr="001534A8" w:rsidRDefault="00567C3E" w:rsidP="00567C3E">
      <w:pPr>
        <w:ind w:firstLine="708"/>
        <w:jc w:val="both"/>
        <w:rPr>
          <w:rFonts w:ascii="Garamond" w:hAnsi="Garamond" w:cs="Arial"/>
        </w:rPr>
      </w:pPr>
      <w:r w:rsidRPr="001534A8">
        <w:rPr>
          <w:rFonts w:ascii="Garamond" w:hAnsi="Garamond" w:cs="Arial"/>
        </w:rPr>
        <w:t xml:space="preserve">Z ankiety dotyczącej zapotrzebowania użytkowników na usługę Internetu szerokopasmowego przeprowadzonej przez Urząd Komunikacji Elektronicznej wynika, że średnia liczba zgłoszeń o braku dostępu do Internetu z całego ORSG w przeliczeniu na 10 000 mieszkańców wyniosła 4,76 i jest wyższa niż wskaźnik dla województwa – 2,56. Największe zapotrzebowanie na Internet występuje w gm. Brzozie, gm. wiejskiej Brodnica oraz gm. Bobrowo. Brak powszechnego dostępu do szerokopasmowego Internetu stanowi utrudnienie dla mieszkańców </w:t>
      </w:r>
      <w:r>
        <w:rPr>
          <w:rFonts w:ascii="Garamond" w:hAnsi="Garamond" w:cs="Arial"/>
        </w:rPr>
        <w:t>P</w:t>
      </w:r>
      <w:r w:rsidRPr="001534A8">
        <w:rPr>
          <w:rFonts w:ascii="Garamond" w:hAnsi="Garamond" w:cs="Arial"/>
        </w:rPr>
        <w:t xml:space="preserve">owiatu, ograniczając przy tym rozwój społeczno-gospodarczy obszaru. Jest on szczególnie ważny dla szkół, gdyż warunkuje realizację programów związanych z rozwojem informatyzacji szkół oraz wykorzystania sprzętu multimedialnego do prowadzenia zajęć. Dostęp do szerokopasmowego Internetu jest podstawowym czynnikiem warunkującym rozwój sektora przedsiębiorstw i instytucji otoczenia biznesu. </w:t>
      </w:r>
    </w:p>
    <w:p w:rsidR="00567C3E" w:rsidRPr="001534A8" w:rsidRDefault="00567C3E" w:rsidP="00567C3E">
      <w:pPr>
        <w:pStyle w:val="W"/>
        <w:jc w:val="both"/>
      </w:pPr>
      <w:bookmarkStart w:id="79" w:name="_Toc430868392"/>
      <w:r w:rsidRPr="001534A8">
        <w:t>Wykres 1</w:t>
      </w:r>
      <w:r>
        <w:t>2</w:t>
      </w:r>
      <w:r w:rsidRPr="001534A8">
        <w:t>. Zgłoszone zapotrzebowanie na Internet stacjonarny na 10 000 mieszkańców na terenie ORSG Powiatu Brodnickiego w 2015 r.</w:t>
      </w:r>
      <w:bookmarkEnd w:id="79"/>
    </w:p>
    <w:p w:rsidR="00567C3E" w:rsidRPr="001534A8" w:rsidRDefault="00567C3E" w:rsidP="00567C3E">
      <w:pPr>
        <w:jc w:val="center"/>
        <w:rPr>
          <w:rFonts w:ascii="Garamond" w:hAnsi="Garamond" w:cs="Arial"/>
        </w:rPr>
      </w:pPr>
      <w:r w:rsidRPr="001534A8">
        <w:rPr>
          <w:rFonts w:ascii="Garamond" w:hAnsi="Garamond" w:cs="Arial"/>
          <w:noProof/>
        </w:rPr>
        <w:drawing>
          <wp:inline distT="0" distB="0" distL="0" distR="0" wp14:anchorId="1425E550" wp14:editId="0CDAE3D4">
            <wp:extent cx="4027805" cy="203835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7C3E" w:rsidRPr="001534A8" w:rsidRDefault="00567C3E" w:rsidP="00567C3E">
      <w:pPr>
        <w:rPr>
          <w:rFonts w:ascii="Garamond" w:hAnsi="Garamond" w:cs="Arial"/>
          <w:i/>
          <w:sz w:val="20"/>
        </w:rPr>
      </w:pPr>
      <w:r w:rsidRPr="001534A8">
        <w:rPr>
          <w:rFonts w:ascii="Garamond" w:hAnsi="Garamond" w:cs="Arial"/>
          <w:sz w:val="20"/>
        </w:rPr>
        <w:t>Źródło:</w:t>
      </w:r>
      <w:r w:rsidRPr="001534A8">
        <w:rPr>
          <w:rFonts w:ascii="Garamond" w:hAnsi="Garamond" w:cs="Arial"/>
          <w:i/>
          <w:sz w:val="20"/>
        </w:rPr>
        <w:t xml:space="preserve"> Opracowanie własne na podstawie Urzędu Komunikacji Elektronicznej.</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0" w:type="auto"/>
        <w:tblLook w:val="04A0" w:firstRow="1" w:lastRow="0" w:firstColumn="1" w:lastColumn="0" w:noHBand="0" w:noVBand="1"/>
      </w:tblPr>
      <w:tblGrid>
        <w:gridCol w:w="1668"/>
        <w:gridCol w:w="7544"/>
      </w:tblGrid>
      <w:tr w:rsidR="00567C3E" w:rsidRPr="001534A8" w:rsidTr="00D32FA7">
        <w:tc>
          <w:tcPr>
            <w:tcW w:w="9212" w:type="dxa"/>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Kluczowe wnioski i obserwacje</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4462E8DC" wp14:editId="218C21E5">
                  <wp:extent cx="539654" cy="540000"/>
                  <wp:effectExtent l="19050" t="0" r="0" b="0"/>
                  <wp:docPr id="4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after="120"/>
              <w:jc w:val="both"/>
              <w:rPr>
                <w:rFonts w:ascii="Garamond" w:hAnsi="Garamond"/>
                <w:sz w:val="20"/>
                <w:szCs w:val="20"/>
              </w:rPr>
            </w:pPr>
            <w:r w:rsidRPr="001534A8">
              <w:rPr>
                <w:rFonts w:ascii="Garamond" w:hAnsi="Garamond"/>
                <w:sz w:val="20"/>
                <w:szCs w:val="20"/>
              </w:rPr>
              <w:t xml:space="preserve">Stopień zwodociągowania obszaru jest zbliżony do średniej dla województwa i kraju. Prawie 90% mieszkańców powiatu posiada dostęp do sieci wodociągowej. Dużo gorzej przedstawia się sytuacja odnośnie stopnia skanalizowania terenu. Jednakże znaczna część obszaru posiada zabudowę rozproszoną, gdzie budowa sieci kanalizacyjnej jest technicznie i ekonomicznie niezasadna. Aktualnie istnieją duże potrzeby w zakresie rozbudowy sieci kanalizacyjnej oraz budowy przydomowych oczyszczalni ścieków. Natomiast sieć wodociągowa, oczyszczalnie i stacje uzdatniania wody wymagają przede wszystkim bieżących napraw i konserwacji. W ramach finansowania tych inwestycji z RPO dokumentem stanowiącym podstawę do wyboru projektów będzie Krajowy Program Oczyszczania Ścieków Komunalnych (KPOŚK). Wynika z niego, że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w:t>
            </w:r>
            <w:r w:rsidRPr="001534A8">
              <w:rPr>
                <w:rFonts w:ascii="Garamond" w:hAnsi="Garamond"/>
                <w:sz w:val="20"/>
                <w:szCs w:val="20"/>
              </w:rPr>
              <w:lastRenderedPageBreak/>
              <w:t>inwestycyjnych w oparciu o KPOŚK. Inwestycje z zakresu gospodarki wodno-ściekowej na terenach nie objętych aglomeracją będzie wspierał Program Rozwoju Obszarów Wiejskich na lata 2014-2020</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lastRenderedPageBreak/>
              <w:drawing>
                <wp:inline distT="0" distB="0" distL="0" distR="0" wp14:anchorId="17FD0185" wp14:editId="60300F0D">
                  <wp:extent cx="539654" cy="540000"/>
                  <wp:effectExtent l="19050" t="0" r="0" b="0"/>
                  <wp:docPr id="4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System gospodarki odpadami został przeorganizowany na mocy przepisów ustawy z 2011 r. o utrzymaniu czystości i porządku w gminach. Obecnie główne problemy w tym zakresie to ciągle niewystarczający stopień selektywnej zbiórki odpadów, co jest przede wszystkim wynikiem niskiej świadomości ekologicznej mieszkańców. Dlatego należy prowadzić programy edukacyjne przedstawiające korzyści płynące z segregowania odpadów</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2EBE475B" wp14:editId="54C43B89">
                  <wp:extent cx="539654" cy="540000"/>
                  <wp:effectExtent l="19050" t="0" r="0" b="0"/>
                  <wp:docPr id="4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cs="Arial"/>
                <w:bCs/>
                <w:sz w:val="20"/>
                <w:szCs w:val="20"/>
              </w:rPr>
              <w:t>Obszar Rozwoju Społeczno-Gospodarczego charakteryzuje się bardzo niskim stopniem gazyfikacji. Jedynie część mieszkańców miasta Brodnicy korzystają z gazu sieciowego, reszta gospodarstw domowych używa gazu propan-butan dostarczanego w butlach</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pPr>
            <w:r w:rsidRPr="001534A8">
              <w:rPr>
                <w:noProof/>
              </w:rPr>
              <w:drawing>
                <wp:inline distT="0" distB="0" distL="0" distR="0" wp14:anchorId="072CC992" wp14:editId="5C3D8E80">
                  <wp:extent cx="539654" cy="540000"/>
                  <wp:effectExtent l="19050" t="0" r="0" b="0"/>
                  <wp:docPr id="4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Problem stanowi słaba dostępność obszaru zarówno w relacjach zewnętrznych jak i wewnętrznych – zbyt niska gęstość sieci drogowej. Zarówno drogi krajowe, wojewódzkie, powiatowe jak i gminne są w złym stanie technicznym – wymagają przebudowy oraz modernizacji</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4090A1A3" wp14:editId="0795BB97">
                  <wp:extent cx="539654" cy="540000"/>
                  <wp:effectExtent l="19050" t="0" r="0" b="0"/>
                  <wp:docPr id="18"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ive_lavender.jpg"/>
                          <pic:cNvPicPr/>
                        </pic:nvPicPr>
                        <pic:blipFill>
                          <a:blip r:embed="rId42"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poprawy bezpieczeństwa, podniesienia jakości środowiska oraz zmniejszenia kosztów, samorządy na terenie ORSG Powiatu Brodnickiego widzą potrzeby w zakresie m.in. wprowadzenia energooszczędnego oświetlenia ulicznego. Jedną z barier i problemem w zakresie realizacji tego typu działań są kwestie własnościowe infrastruktury energetycznej i brak zgody na wymianę oświetlenia ze strony operatora sieci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164A4D60" wp14:editId="3B871439">
                  <wp:extent cx="539654" cy="540000"/>
                  <wp:effectExtent l="19050" t="0" r="0" b="0"/>
                  <wp:docPr id="5"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ix_lavender.jpg"/>
                          <pic:cNvPicPr/>
                        </pic:nvPicPr>
                        <pic:blipFill>
                          <a:blip r:embed="rId43" cstate="print"/>
                          <a:stretch>
                            <a:fillRect/>
                          </a:stretch>
                        </pic:blipFill>
                        <pic:spPr>
                          <a:xfrm>
                            <a:off x="0" y="0"/>
                            <a:ext cx="539654" cy="540000"/>
                          </a:xfrm>
                          <a:prstGeom prst="rect">
                            <a:avLst/>
                          </a:prstGeom>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Transport publiczny na terenie ORSG nie jest zbyt dobrze rozwinięty. Brakuje szybkich i dogodnych połączeń międzygminnych oraz tych łączących Powiat z głównymi ośrodkami województwa. Jedynym miastem obszaru oferującym miejski transport zbiorowy jest Brodnica. Głównymi potrzebami jakie zdiagnozowano w zakresie komunikacji miejskiej są: modernizacja taboru oraz budowa i uruchomienia inteligentnego systemu zarządzania parkingami </w:t>
            </w:r>
          </w:p>
        </w:tc>
      </w:tr>
      <w:tr w:rsidR="00567C3E" w:rsidRPr="001534A8" w:rsidTr="00D32FA7">
        <w:tc>
          <w:tcPr>
            <w:tcW w:w="1668"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noProof/>
              </w:rPr>
            </w:pPr>
            <w:r w:rsidRPr="001534A8">
              <w:rPr>
                <w:noProof/>
              </w:rPr>
              <w:drawing>
                <wp:inline distT="0" distB="0" distL="0" distR="0" wp14:anchorId="481F98F6" wp14:editId="7F3BEF6D">
                  <wp:extent cx="571500" cy="571500"/>
                  <wp:effectExtent l="19050" t="0" r="0" b="0"/>
                  <wp:docPr id="40" name="Obraz 18" descr="C:\Documents and Settings\jasieniecka.monika\Pulpit\MJ\Standardy CI\IKONY LIPIEC 2013\7\number seve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sieniecka.monika\Pulpit\MJ\Standardy CI\IKONY LIPIEC 2013\7\number seven_lavender.jpg"/>
                          <pic:cNvPicPr>
                            <a:picLocks noChangeAspect="1" noChangeArrowheads="1"/>
                          </pic:cNvPicPr>
                        </pic:nvPicPr>
                        <pic:blipFill>
                          <a:blip r:embed="rId5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Brak dostępu do szerokopasmowego Internetu stanowi barierę rozwoju dla wszystkich podmiotów działających na ORSG Powiatu Brodnickiego. Upowszechnienie dostępu do szybkiego Internetu przełożyłoby się na szereg korzyści dla obywateli, administracji czy szkół. Ponadto jest on szczególnie ważny dla sektora gospodarki, gdyż w znacznym stopniu determinuje rozwój przedsiębiorstw</w:t>
            </w:r>
          </w:p>
        </w:tc>
      </w:tr>
    </w:tbl>
    <w:p w:rsidR="00567C3E" w:rsidRPr="001534A8" w:rsidRDefault="00567C3E" w:rsidP="00567C3E">
      <w:pPr>
        <w:spacing w:after="0"/>
        <w:jc w:val="both"/>
        <w:rPr>
          <w:rFonts w:ascii="Garamond" w:hAnsi="Garamond" w:cs="Arial"/>
          <w:color w:val="FFFFFF" w:themeColor="background1"/>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cs="Arial"/>
          <w:color w:val="FFFFFF" w:themeColor="background1"/>
        </w:rPr>
        <w:t>---</w:t>
      </w:r>
    </w:p>
    <w:tbl>
      <w:tblPr>
        <w:tblStyle w:val="Tabela-Siatka"/>
        <w:tblW w:w="0" w:type="auto"/>
        <w:tblLook w:val="04A0" w:firstRow="1" w:lastRow="0" w:firstColumn="1" w:lastColumn="0" w:noHBand="0" w:noVBand="1"/>
      </w:tblPr>
      <w:tblGrid>
        <w:gridCol w:w="4606"/>
        <w:gridCol w:w="4606"/>
      </w:tblGrid>
      <w:tr w:rsidR="00567C3E" w:rsidRPr="001534A8" w:rsidTr="00D32FA7">
        <w:tc>
          <w:tcPr>
            <w:tcW w:w="4606" w:type="dxa"/>
            <w:tcBorders>
              <w:top w:val="nil"/>
              <w:left w:val="nil"/>
              <w:bottom w:val="nil"/>
              <w:right w:val="nil"/>
            </w:tcBorders>
            <w:vAlign w:val="center"/>
          </w:tcPr>
          <w:p w:rsidR="00567C3E" w:rsidRPr="001534A8" w:rsidRDefault="00567C3E" w:rsidP="00D32FA7">
            <w:pPr>
              <w:pStyle w:val="ST3"/>
            </w:pPr>
            <w:bookmarkStart w:id="80" w:name="_Toc415228164"/>
            <w:bookmarkStart w:id="81" w:name="_Toc419705524"/>
            <w:r w:rsidRPr="001534A8">
              <w:lastRenderedPageBreak/>
              <w:t>Efektywność energetyczna</w:t>
            </w:r>
            <w:bookmarkEnd w:id="80"/>
            <w:bookmarkEnd w:id="81"/>
            <w:r w:rsidRPr="001534A8">
              <w:t xml:space="preserve"> </w:t>
            </w:r>
          </w:p>
        </w:tc>
        <w:tc>
          <w:tcPr>
            <w:tcW w:w="4606" w:type="dxa"/>
            <w:tcBorders>
              <w:top w:val="nil"/>
              <w:left w:val="nil"/>
              <w:bottom w:val="nil"/>
              <w:right w:val="nil"/>
            </w:tcBorders>
          </w:tcPr>
          <w:p w:rsidR="00567C3E" w:rsidRPr="001534A8" w:rsidRDefault="00567C3E" w:rsidP="00D32FA7">
            <w:pPr>
              <w:jc w:val="center"/>
              <w:rPr>
                <w:rFonts w:ascii="Garamond" w:hAnsi="Garamond" w:cs="Arial"/>
              </w:rPr>
            </w:pPr>
            <w:r w:rsidRPr="001534A8">
              <w:object w:dxaOrig="2220" w:dyaOrig="1515">
                <v:shape id="_x0000_i1034" type="#_x0000_t75" style="width:108.75pt;height:77.25pt" o:ole="">
                  <v:imagedata r:id="rId61" o:title=""/>
                </v:shape>
                <o:OLEObject Type="Embed" ProgID="PBrush" ShapeID="_x0000_i1034" DrawAspect="Content" ObjectID="_1592972282" r:id="rId62"/>
              </w:object>
            </w:r>
          </w:p>
        </w:tc>
      </w:tr>
    </w:tbl>
    <w:p w:rsidR="00567C3E" w:rsidRPr="001534A8" w:rsidRDefault="00567C3E" w:rsidP="00567C3E">
      <w:pPr>
        <w:tabs>
          <w:tab w:val="left" w:pos="7905"/>
        </w:tabs>
        <w:spacing w:after="120"/>
        <w:jc w:val="both"/>
        <w:rPr>
          <w:rFonts w:ascii="Garamond" w:hAnsi="Garamond" w:cs="Arial"/>
        </w:rPr>
      </w:pPr>
    </w:p>
    <w:p w:rsidR="00567C3E" w:rsidRPr="001534A8" w:rsidRDefault="00567C3E" w:rsidP="00567C3E">
      <w:pPr>
        <w:tabs>
          <w:tab w:val="left" w:pos="7905"/>
        </w:tabs>
        <w:spacing w:after="120"/>
        <w:ind w:firstLine="709"/>
        <w:jc w:val="both"/>
        <w:rPr>
          <w:rFonts w:ascii="Garamond" w:hAnsi="Garamond"/>
        </w:rPr>
      </w:pPr>
      <w:proofErr w:type="spellStart"/>
      <w:r w:rsidRPr="001534A8">
        <w:rPr>
          <w:rFonts w:ascii="Garamond" w:hAnsi="Garamond"/>
        </w:rPr>
        <w:t>Podjecie</w:t>
      </w:r>
      <w:proofErr w:type="spellEnd"/>
      <w:r w:rsidRPr="001534A8">
        <w:rPr>
          <w:rFonts w:ascii="Garamond" w:hAnsi="Garamond"/>
        </w:rPr>
        <w:t xml:space="preserve"> działań na rzecz zwiększenia efektywności energetycznej wynika z polityki klimatycznej Unii Europejskiej wyrażonej w pakiecie klimatyczno-energetycznym, którego założenia obejmują redukcję gazów cieplarnianych, wzrost udziału odnawialnych źródeł energii w zużyciu energii finalnej oraz wzrost efektywności energetycznej.</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Efektywność energetyczna i energia odnawialna są uznawane za filary zrównoważonej polityki energetycznej. Działania służące poprawie efektywności energetycznej mają na celu ograniczanie emisji gazów cieplarnianych, a także zmniejszenie światowego zapotrzebowania na energię. W związku z tym już na poziomie lokalnym należy dążyć do tego, aby w jak największym stopniu realizować projekty przyczyniające się do oszczędności energii. W tym celu wszystkie gminy ORSG powinny dysponować planami działań nakierowanymi na ograniczenie emisji CO</w:t>
      </w:r>
      <w:r w:rsidRPr="001534A8">
        <w:rPr>
          <w:rFonts w:ascii="Garamond" w:hAnsi="Garamond"/>
          <w:vertAlign w:val="subscript"/>
        </w:rPr>
        <w:t>2</w:t>
      </w:r>
      <w:r w:rsidRPr="001534A8">
        <w:rPr>
          <w:rFonts w:ascii="Garamond" w:hAnsi="Garamond"/>
        </w:rPr>
        <w:t xml:space="preserve"> do atmosfery oraz wzrost efektywności energetycznej, wyrażonymi w planach gospodarki niskoemisyjnej. Plany te swoimi działaniami powinny obejmować cały obszar gminy: sektor publiczny, budynki mieszkalne, przedsiębiorstwa oraz transport.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Wzorcową rolę w zakresie działań prowadzących do poprawy efektywności energetycznej pełnić powinien sektor publiczny. Większość gmin z terenu ORSG w aspekcie tym, ze względu na znaczne koszty, realizowała jedynie pojedyncze inwestycje związane głównie z termomodernizacją gminnych obiektów użyteczności publicznej w szczególności szkół, siedzib urzędów gmin oraz świetlic. W większości gmin nie jest również wykorzystywana energia pochodząca ze źródeł odnawialnych. Stwierdza się zatem duże potrzeby związane z modernizacją energetyczną budynków gminnych. Jednocześnie wszystkie gminy z terenu ORSG zgłaszają zapotrzebowanie i deklarują chęci prowadzenia takich działań na szerszą skalę.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Wskazuje się również na potrzebę podjęcia działań edukacyjnych i motywujących dla lokalnej społeczności nakierowanych na zmianę źródła ciepła na bardziej ekologiczne. Sektor mieszkalnictwa na obszarze ORSG ma zasadnicze znaczenie, ponieważ większość zabudowy stanowi zabudowa jednorodzinna z indywidualnymi systemami grzewczymi, w zdecydowanej większości piecem węglowym, emitującym do atmosfery najwięcej dwutlenku węgla. Ciepło sieciowe występuje tu w niewielkim zakresie.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Wśród zanieczyszczeń emitowanych z indywidualnych palenisk domowych oraz małych lokalnych kotłowni opalanych węglem znajdują się powszechnie znane podstawowe zanieczyszczenia energetyczne: pyły, dwutlenek węgla, dwutlenek siarki i tlenki azotu, ale również mniej znane opinii społecznej wielopierścieniowe węglowodory aromatyczne, w tym </w:t>
      </w:r>
      <w:proofErr w:type="spellStart"/>
      <w:r w:rsidRPr="001534A8">
        <w:rPr>
          <w:rFonts w:ascii="Garamond" w:hAnsi="Garamond"/>
        </w:rPr>
        <w:t>benzo</w:t>
      </w:r>
      <w:proofErr w:type="spellEnd"/>
      <w:r w:rsidRPr="001534A8">
        <w:rPr>
          <w:rFonts w:ascii="Garamond" w:hAnsi="Garamond"/>
        </w:rPr>
        <w:t>-a-</w:t>
      </w:r>
      <w:proofErr w:type="spellStart"/>
      <w:r w:rsidRPr="001534A8">
        <w:rPr>
          <w:rFonts w:ascii="Garamond" w:hAnsi="Garamond"/>
        </w:rPr>
        <w:t>piren</w:t>
      </w:r>
      <w:proofErr w:type="spellEnd"/>
      <w:r w:rsidRPr="001534A8">
        <w:rPr>
          <w:rFonts w:ascii="Garamond" w:hAnsi="Garamond"/>
        </w:rPr>
        <w:t>, który jest związkiem o udowodnionym działaniu rakotwórczym. Ponadto często się zdarza, że w paleniskach domowych spalane są odpady, takie jak butelki i opakowania z mas plastycznych, ścinki gumowe, folie itp. powodujące emisję węglowodorów, jak również innych związków zanieczyszczających powietrze.</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Na podstawie rocznej oceny jakości powietrza atmosferycznego w województwie kujawsko - pomorskim za rok 2013 zaliczono cały jego obszar do niekorzystnej klasy C: trzy strefy („aglomeracja bydgoska”, „miasto Włocławek” i „strefa kujawsko-pomorska” z </w:t>
      </w:r>
      <w:r>
        <w:rPr>
          <w:rFonts w:ascii="Garamond" w:hAnsi="Garamond"/>
        </w:rPr>
        <w:t>P</w:t>
      </w:r>
      <w:r w:rsidRPr="001534A8">
        <w:rPr>
          <w:rFonts w:ascii="Garamond" w:hAnsi="Garamond"/>
        </w:rPr>
        <w:t xml:space="preserve">owiatem Brodnickim) ze względu na 2 zanieczyszczenia (pył zawieszony PM10, </w:t>
      </w:r>
      <w:proofErr w:type="spellStart"/>
      <w:r w:rsidRPr="001534A8">
        <w:rPr>
          <w:rFonts w:ascii="Garamond" w:hAnsi="Garamond"/>
        </w:rPr>
        <w:t>benzo</w:t>
      </w:r>
      <w:proofErr w:type="spellEnd"/>
      <w:r w:rsidRPr="001534A8">
        <w:rPr>
          <w:rFonts w:ascii="Garamond" w:hAnsi="Garamond"/>
        </w:rPr>
        <w:t>(α)</w:t>
      </w:r>
      <w:proofErr w:type="spellStart"/>
      <w:r w:rsidRPr="001534A8">
        <w:rPr>
          <w:rFonts w:ascii="Garamond" w:hAnsi="Garamond"/>
        </w:rPr>
        <w:t>piren</w:t>
      </w:r>
      <w:proofErr w:type="spellEnd"/>
      <w:r w:rsidRPr="001534A8">
        <w:rPr>
          <w:rFonts w:ascii="Garamond" w:hAnsi="Garamond"/>
        </w:rPr>
        <w:t xml:space="preserve">) oraz jedna strefa („miasto Toruń”) ze względu na </w:t>
      </w:r>
      <w:r w:rsidRPr="001534A8">
        <w:rPr>
          <w:rFonts w:ascii="Garamond" w:hAnsi="Garamond"/>
        </w:rPr>
        <w:lastRenderedPageBreak/>
        <w:t>1 zanieczyszczenie - pył zawieszony PM10. Dla stref tych wymagane jest sporządzanie programu ochrony powietrza</w:t>
      </w:r>
      <w:r w:rsidRPr="001534A8">
        <w:rPr>
          <w:rStyle w:val="Odwoanieprzypisudolnego"/>
          <w:rFonts w:ascii="Garamond" w:hAnsi="Garamond"/>
        </w:rPr>
        <w:footnoteReference w:id="25"/>
      </w:r>
      <w:r w:rsidRPr="001534A8">
        <w:rPr>
          <w:rFonts w:ascii="Garamond" w:hAnsi="Garamond"/>
        </w:rPr>
        <w:t xml:space="preserve">. </w:t>
      </w:r>
    </w:p>
    <w:p w:rsidR="00567C3E" w:rsidRPr="001534A8" w:rsidRDefault="00567C3E" w:rsidP="00567C3E">
      <w:pPr>
        <w:pStyle w:val="T"/>
      </w:pPr>
      <w:bookmarkStart w:id="82" w:name="_Toc413315501"/>
      <w:bookmarkStart w:id="83" w:name="_Toc430872018"/>
      <w:r w:rsidRPr="001534A8">
        <w:t>Tabela 3</w:t>
      </w:r>
      <w:r>
        <w:t>6</w:t>
      </w:r>
      <w:r w:rsidRPr="001534A8">
        <w:t>. Emisja i redukcja zanieczyszczeń powietrza z zakładów szczególnie uciążliwych na terenie ORSG Powiatu Brodnickiego na tle województwa kujawsko-pomorskiego w 2013 r.</w:t>
      </w:r>
      <w:bookmarkEnd w:id="82"/>
      <w:bookmarkEnd w:id="83"/>
    </w:p>
    <w:tbl>
      <w:tblPr>
        <w:tblW w:w="8359" w:type="dxa"/>
        <w:jc w:val="center"/>
        <w:tblBorders>
          <w:top w:val="single" w:sz="8" w:space="0" w:color="824BB0"/>
          <w:left w:val="single" w:sz="8" w:space="0" w:color="824BB0"/>
          <w:bottom w:val="single" w:sz="8" w:space="0" w:color="824BB0"/>
          <w:right w:val="single" w:sz="8" w:space="0" w:color="824BB0"/>
          <w:insideH w:val="single" w:sz="8" w:space="0" w:color="824BB0"/>
          <w:insideV w:val="single" w:sz="8" w:space="0" w:color="824BB0"/>
        </w:tblBorders>
        <w:shd w:val="clear" w:color="auto" w:fill="FFFFFF"/>
        <w:tblCellMar>
          <w:left w:w="0" w:type="dxa"/>
          <w:right w:w="0" w:type="dxa"/>
        </w:tblCellMar>
        <w:tblLook w:val="04A0" w:firstRow="1" w:lastRow="0" w:firstColumn="1" w:lastColumn="0" w:noHBand="0" w:noVBand="1"/>
      </w:tblPr>
      <w:tblGrid>
        <w:gridCol w:w="1304"/>
        <w:gridCol w:w="1034"/>
        <w:gridCol w:w="1136"/>
        <w:gridCol w:w="1211"/>
        <w:gridCol w:w="1308"/>
        <w:gridCol w:w="1183"/>
        <w:gridCol w:w="1183"/>
      </w:tblGrid>
      <w:tr w:rsidR="00567C3E" w:rsidRPr="001534A8" w:rsidTr="00D32FA7">
        <w:trPr>
          <w:jc w:val="center"/>
        </w:trPr>
        <w:tc>
          <w:tcPr>
            <w:tcW w:w="1304" w:type="dxa"/>
            <w:vMerge w:val="restart"/>
            <w:tcBorders>
              <w:top w:val="single" w:sz="8" w:space="0" w:color="824BB0"/>
              <w:left w:val="single" w:sz="8" w:space="0" w:color="824BB0"/>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Jednostka terytorialna</w:t>
            </w:r>
          </w:p>
        </w:tc>
        <w:tc>
          <w:tcPr>
            <w:tcW w:w="2170" w:type="dxa"/>
            <w:gridSpan w:val="2"/>
            <w:tcBorders>
              <w:top w:val="single" w:sz="8" w:space="0" w:color="824BB0"/>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Mg/rok</w:t>
            </w:r>
          </w:p>
        </w:tc>
        <w:tc>
          <w:tcPr>
            <w:tcW w:w="2519" w:type="dxa"/>
            <w:gridSpan w:val="2"/>
            <w:vMerge w:val="restart"/>
            <w:tcBorders>
              <w:top w:val="single" w:sz="8" w:space="0" w:color="824BB0"/>
              <w:left w:val="single" w:sz="8" w:space="0" w:color="FFFFFF"/>
              <w:bottom w:val="single" w:sz="8" w:space="0" w:color="FFFFFF"/>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Zanieczyszczenia zatrzymane lub zneutralizowane w urządzeniach do redukcji zanieczyszczeń w %</w:t>
            </w:r>
          </w:p>
        </w:tc>
        <w:tc>
          <w:tcPr>
            <w:tcW w:w="1183" w:type="dxa"/>
            <w:vMerge w:val="restart"/>
            <w:tcBorders>
              <w:top w:val="single" w:sz="8" w:space="0" w:color="824BB0"/>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Emisja zanieczyszczeń na 1 mieszkańca Mg/1 mieszk.</w:t>
            </w:r>
          </w:p>
        </w:tc>
        <w:tc>
          <w:tcPr>
            <w:tcW w:w="1183" w:type="dxa"/>
            <w:vMerge w:val="restart"/>
            <w:tcBorders>
              <w:top w:val="single" w:sz="8" w:space="0" w:color="824BB0"/>
              <w:left w:val="single" w:sz="4" w:space="0" w:color="FFFFFF" w:themeColor="background1"/>
              <w:right w:val="single" w:sz="8" w:space="0" w:color="824BB0"/>
            </w:tcBorders>
            <w:shd w:val="clear" w:color="auto" w:fill="824BB0"/>
            <w:vAlign w:val="center"/>
          </w:tcPr>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Emisja zanieczyszczeń na 1 km</w:t>
            </w:r>
            <w:r w:rsidRPr="001534A8">
              <w:rPr>
                <w:rFonts w:ascii="Garamond" w:hAnsi="Garamond"/>
                <w:bCs/>
                <w:color w:val="FFFFFF"/>
                <w:sz w:val="20"/>
                <w:szCs w:val="20"/>
                <w:vertAlign w:val="superscript"/>
              </w:rPr>
              <w:t>2</w:t>
            </w:r>
          </w:p>
          <w:p w:rsidR="00567C3E" w:rsidRPr="001534A8" w:rsidRDefault="00567C3E" w:rsidP="00D32FA7">
            <w:pPr>
              <w:spacing w:after="0" w:line="240" w:lineRule="auto"/>
              <w:jc w:val="center"/>
              <w:rPr>
                <w:rFonts w:ascii="Garamond" w:hAnsi="Garamond"/>
                <w:bCs/>
                <w:color w:val="FFFFFF"/>
                <w:sz w:val="20"/>
                <w:szCs w:val="20"/>
                <w:vertAlign w:val="superscript"/>
              </w:rPr>
            </w:pPr>
            <w:r w:rsidRPr="001534A8">
              <w:rPr>
                <w:rFonts w:ascii="Garamond" w:hAnsi="Garamond"/>
                <w:bCs/>
                <w:color w:val="FFFFFF"/>
                <w:sz w:val="20"/>
                <w:szCs w:val="20"/>
              </w:rPr>
              <w:t>Mg/1 km</w:t>
            </w:r>
            <w:r w:rsidRPr="001534A8">
              <w:rPr>
                <w:rFonts w:ascii="Garamond" w:hAnsi="Garamond"/>
                <w:bCs/>
                <w:color w:val="FFFFFF"/>
                <w:sz w:val="20"/>
                <w:szCs w:val="20"/>
                <w:vertAlign w:val="superscript"/>
              </w:rPr>
              <w:t>2</w:t>
            </w:r>
          </w:p>
        </w:tc>
      </w:tr>
      <w:tr w:rsidR="00567C3E" w:rsidRPr="001534A8" w:rsidTr="00D32FA7">
        <w:trPr>
          <w:trHeight w:val="305"/>
          <w:jc w:val="center"/>
        </w:trPr>
        <w:tc>
          <w:tcPr>
            <w:tcW w:w="1304" w:type="dxa"/>
            <w:vMerge/>
            <w:tcBorders>
              <w:top w:val="single" w:sz="8" w:space="0" w:color="FFFFFF"/>
              <w:left w:val="single" w:sz="8" w:space="0" w:color="824BB0"/>
              <w:bottom w:val="single" w:sz="8" w:space="0" w:color="FFFFFF"/>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val="restart"/>
            <w:tcBorders>
              <w:top w:val="single" w:sz="4" w:space="0" w:color="FFFFFF" w:themeColor="background1"/>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Pyłowych</w:t>
            </w:r>
          </w:p>
        </w:tc>
        <w:tc>
          <w:tcPr>
            <w:tcW w:w="1136" w:type="dxa"/>
            <w:vMerge w:val="restart"/>
            <w:tcBorders>
              <w:top w:val="single" w:sz="8" w:space="0" w:color="FFFFFF"/>
              <w:left w:val="single" w:sz="8" w:space="0" w:color="FFFFFF"/>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Gazowych</w:t>
            </w:r>
          </w:p>
        </w:tc>
        <w:tc>
          <w:tcPr>
            <w:tcW w:w="2519" w:type="dxa"/>
            <w:gridSpan w:val="2"/>
            <w:vMerge/>
            <w:tcBorders>
              <w:top w:val="single" w:sz="8" w:space="0" w:color="FFFFFF"/>
              <w:left w:val="single" w:sz="8" w:space="0" w:color="FFFFFF"/>
              <w:bottom w:val="single" w:sz="8" w:space="0" w:color="FFFFFF"/>
              <w:right w:val="single" w:sz="4" w:space="0" w:color="FFFFFF" w:themeColor="background1"/>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c>
          <w:tcPr>
            <w:tcW w:w="1183" w:type="dxa"/>
            <w:vMerge/>
            <w:tcBorders>
              <w:left w:val="single" w:sz="4" w:space="0" w:color="FFFFFF" w:themeColor="background1"/>
              <w:right w:val="single" w:sz="8" w:space="0" w:color="824BB0"/>
            </w:tcBorders>
            <w:shd w:val="clear" w:color="auto" w:fill="824BB0"/>
          </w:tcPr>
          <w:p w:rsidR="00567C3E" w:rsidRPr="001534A8" w:rsidRDefault="00567C3E" w:rsidP="00D32FA7">
            <w:pPr>
              <w:spacing w:after="0" w:line="240" w:lineRule="auto"/>
              <w:jc w:val="both"/>
              <w:rPr>
                <w:rFonts w:ascii="Garamond" w:hAnsi="Garamond"/>
                <w:bCs/>
                <w:color w:val="FFFFFF"/>
                <w:sz w:val="20"/>
                <w:szCs w:val="20"/>
              </w:rPr>
            </w:pPr>
          </w:p>
        </w:tc>
      </w:tr>
      <w:tr w:rsidR="00567C3E" w:rsidRPr="001534A8" w:rsidTr="00D32FA7">
        <w:trPr>
          <w:jc w:val="center"/>
        </w:trPr>
        <w:tc>
          <w:tcPr>
            <w:tcW w:w="1304" w:type="dxa"/>
            <w:vMerge/>
            <w:tcBorders>
              <w:top w:val="single" w:sz="8" w:space="0" w:color="FFFFFF"/>
              <w:left w:val="single" w:sz="8" w:space="0" w:color="824BB0"/>
              <w:bottom w:val="nil"/>
              <w:right w:val="single" w:sz="8" w:space="0" w:color="FFFFFF"/>
            </w:tcBorders>
            <w:shd w:val="clear" w:color="auto" w:fill="824BB0"/>
            <w:vAlign w:val="center"/>
            <w:hideMark/>
          </w:tcPr>
          <w:p w:rsidR="00567C3E" w:rsidRPr="001534A8" w:rsidRDefault="00567C3E" w:rsidP="00D32FA7">
            <w:pPr>
              <w:spacing w:after="0" w:line="240" w:lineRule="auto"/>
              <w:jc w:val="both"/>
              <w:rPr>
                <w:rFonts w:ascii="Garamond" w:hAnsi="Garamond"/>
                <w:bCs/>
                <w:color w:val="FFFFFF"/>
                <w:sz w:val="20"/>
                <w:szCs w:val="20"/>
              </w:rPr>
            </w:pPr>
          </w:p>
        </w:tc>
        <w:tc>
          <w:tcPr>
            <w:tcW w:w="1034"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136" w:type="dxa"/>
            <w:vMerge/>
            <w:tcBorders>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p>
        </w:tc>
        <w:tc>
          <w:tcPr>
            <w:tcW w:w="1211"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Pyłowe</w:t>
            </w:r>
          </w:p>
        </w:tc>
        <w:tc>
          <w:tcPr>
            <w:tcW w:w="1308" w:type="dxa"/>
            <w:tcBorders>
              <w:top w:val="single" w:sz="8" w:space="0" w:color="FFFFFF"/>
              <w:left w:val="single" w:sz="8" w:space="0" w:color="FFFFFF"/>
              <w:bottom w:val="nil"/>
              <w:right w:val="single" w:sz="4" w:space="0" w:color="FFFFFF" w:themeColor="background1"/>
            </w:tcBorders>
            <w:shd w:val="clear" w:color="auto" w:fill="824BB0"/>
            <w:tcMar>
              <w:top w:w="0" w:type="dxa"/>
              <w:left w:w="108" w:type="dxa"/>
              <w:bottom w:w="0" w:type="dxa"/>
              <w:right w:w="108" w:type="dxa"/>
            </w:tcMar>
            <w:vAlign w:val="center"/>
            <w:hideMark/>
          </w:tcPr>
          <w:p w:rsidR="00567C3E" w:rsidRPr="001534A8" w:rsidRDefault="00567C3E" w:rsidP="00D32FA7">
            <w:pPr>
              <w:spacing w:after="0" w:line="240" w:lineRule="auto"/>
              <w:jc w:val="center"/>
              <w:rPr>
                <w:rFonts w:ascii="Garamond" w:hAnsi="Garamond"/>
                <w:bCs/>
                <w:color w:val="FFFFFF"/>
                <w:sz w:val="20"/>
                <w:szCs w:val="20"/>
              </w:rPr>
            </w:pPr>
            <w:r w:rsidRPr="001534A8">
              <w:rPr>
                <w:rFonts w:ascii="Garamond" w:hAnsi="Garamond"/>
                <w:bCs/>
                <w:color w:val="FFFFFF"/>
                <w:sz w:val="20"/>
                <w:szCs w:val="20"/>
              </w:rPr>
              <w:t>Gazowe</w:t>
            </w:r>
          </w:p>
        </w:tc>
        <w:tc>
          <w:tcPr>
            <w:tcW w:w="1183" w:type="dxa"/>
            <w:vMerge/>
            <w:tcBorders>
              <w:left w:val="single" w:sz="4" w:space="0" w:color="FFFFFF" w:themeColor="background1"/>
              <w:bottom w:val="nil"/>
              <w:right w:val="single" w:sz="4" w:space="0" w:color="FFFFFF" w:themeColor="background1"/>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c>
          <w:tcPr>
            <w:tcW w:w="1183" w:type="dxa"/>
            <w:vMerge/>
            <w:tcBorders>
              <w:left w:val="single" w:sz="4" w:space="0" w:color="FFFFFF" w:themeColor="background1"/>
              <w:bottom w:val="nil"/>
              <w:right w:val="single" w:sz="8" w:space="0" w:color="824BB0"/>
            </w:tcBorders>
            <w:shd w:val="clear" w:color="auto" w:fill="824BB0"/>
          </w:tcPr>
          <w:p w:rsidR="00567C3E" w:rsidRPr="001534A8" w:rsidRDefault="00567C3E" w:rsidP="00D32FA7">
            <w:pPr>
              <w:spacing w:after="0" w:line="240" w:lineRule="auto"/>
              <w:jc w:val="center"/>
              <w:rPr>
                <w:rFonts w:ascii="Garamond" w:hAnsi="Garamond"/>
                <w:bCs/>
                <w:color w:val="FFFFFF"/>
                <w:sz w:val="20"/>
                <w:szCs w:val="20"/>
              </w:rPr>
            </w:pPr>
          </w:p>
        </w:tc>
      </w:tr>
      <w:tr w:rsidR="00567C3E" w:rsidRPr="001534A8" w:rsidTr="00D32FA7">
        <w:trPr>
          <w:jc w:val="center"/>
        </w:trPr>
        <w:tc>
          <w:tcPr>
            <w:tcW w:w="130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 xml:space="preserve">ORSG </w:t>
            </w:r>
          </w:p>
        </w:tc>
        <w:tc>
          <w:tcPr>
            <w:tcW w:w="1034"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30</w:t>
            </w:r>
          </w:p>
        </w:tc>
        <w:tc>
          <w:tcPr>
            <w:tcW w:w="1136"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35 298</w:t>
            </w:r>
          </w:p>
        </w:tc>
        <w:tc>
          <w:tcPr>
            <w:tcW w:w="1211"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89</w:t>
            </w:r>
          </w:p>
        </w:tc>
        <w:tc>
          <w:tcPr>
            <w:tcW w:w="1308" w:type="dxa"/>
            <w:tcBorders>
              <w:top w:val="nil"/>
            </w:tcBorders>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0,5</w:t>
            </w:r>
          </w:p>
        </w:tc>
        <w:tc>
          <w:tcPr>
            <w:tcW w:w="1183" w:type="dxa"/>
            <w:tcBorders>
              <w:top w:val="nil"/>
            </w:tcBorders>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34,0</w:t>
            </w:r>
          </w:p>
        </w:tc>
      </w:tr>
      <w:tr w:rsidR="00567C3E" w:rsidRPr="001534A8" w:rsidTr="00D32FA7">
        <w:trPr>
          <w:jc w:val="center"/>
        </w:trPr>
        <w:tc>
          <w:tcPr>
            <w:tcW w:w="130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both"/>
              <w:rPr>
                <w:rFonts w:ascii="Garamond" w:hAnsi="Garamond"/>
                <w:bCs/>
                <w:sz w:val="20"/>
                <w:szCs w:val="20"/>
              </w:rPr>
            </w:pPr>
            <w:r w:rsidRPr="001534A8">
              <w:rPr>
                <w:rFonts w:ascii="Garamond" w:hAnsi="Garamond"/>
                <w:bCs/>
                <w:sz w:val="20"/>
                <w:szCs w:val="20"/>
              </w:rPr>
              <w:t>Kujawsko-Pomorskie</w:t>
            </w:r>
          </w:p>
        </w:tc>
        <w:tc>
          <w:tcPr>
            <w:tcW w:w="1034"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3 384</w:t>
            </w:r>
          </w:p>
        </w:tc>
        <w:tc>
          <w:tcPr>
            <w:tcW w:w="1136"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7 938 915</w:t>
            </w:r>
          </w:p>
        </w:tc>
        <w:tc>
          <w:tcPr>
            <w:tcW w:w="1211"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99,3</w:t>
            </w:r>
          </w:p>
        </w:tc>
        <w:tc>
          <w:tcPr>
            <w:tcW w:w="1308" w:type="dxa"/>
            <w:shd w:val="clear" w:color="auto" w:fill="FFFFFF"/>
            <w:tcMar>
              <w:top w:w="0" w:type="dxa"/>
              <w:left w:w="108" w:type="dxa"/>
              <w:bottom w:w="0" w:type="dxa"/>
              <w:right w:w="108" w:type="dxa"/>
            </w:tcMar>
            <w:vAlign w:val="center"/>
            <w:hideMark/>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36,3</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3,8</w:t>
            </w:r>
          </w:p>
        </w:tc>
        <w:tc>
          <w:tcPr>
            <w:tcW w:w="1183" w:type="dxa"/>
            <w:shd w:val="clear" w:color="auto" w:fill="FFFFFF"/>
            <w:vAlign w:val="center"/>
          </w:tcPr>
          <w:p w:rsidR="00567C3E" w:rsidRPr="001534A8" w:rsidRDefault="00567C3E" w:rsidP="00D32FA7">
            <w:pPr>
              <w:spacing w:after="0" w:line="240" w:lineRule="auto"/>
              <w:jc w:val="right"/>
              <w:rPr>
                <w:rFonts w:ascii="Garamond" w:hAnsi="Garamond"/>
                <w:bCs/>
                <w:sz w:val="20"/>
                <w:szCs w:val="20"/>
              </w:rPr>
            </w:pPr>
            <w:r w:rsidRPr="001534A8">
              <w:rPr>
                <w:rFonts w:ascii="Garamond" w:hAnsi="Garamond"/>
                <w:bCs/>
                <w:sz w:val="20"/>
                <w:szCs w:val="20"/>
              </w:rPr>
              <w:t>441,9</w:t>
            </w:r>
          </w:p>
        </w:tc>
      </w:tr>
    </w:tbl>
    <w:p w:rsidR="00567C3E" w:rsidRPr="001534A8" w:rsidRDefault="00567C3E" w:rsidP="00567C3E">
      <w:pPr>
        <w:spacing w:before="120" w:after="120" w:line="240" w:lineRule="auto"/>
        <w:jc w:val="both"/>
        <w:rPr>
          <w:rFonts w:ascii="Garamond" w:hAnsi="Garamond" w:cs="Arial"/>
          <w:sz w:val="20"/>
        </w:rPr>
      </w:pPr>
      <w:r w:rsidRPr="001534A8">
        <w:rPr>
          <w:rFonts w:ascii="Garamond" w:hAnsi="Garamond" w:cs="Arial"/>
          <w:sz w:val="20"/>
        </w:rPr>
        <w:t>Źródło:</w:t>
      </w:r>
      <w:r w:rsidRPr="001534A8">
        <w:rPr>
          <w:rFonts w:ascii="Garamond" w:hAnsi="Garamond" w:cs="Arial"/>
          <w:i/>
          <w:sz w:val="20"/>
        </w:rPr>
        <w:t xml:space="preserve"> Opracowanie własne na podstawie danych GUS.</w:t>
      </w:r>
    </w:p>
    <w:p w:rsidR="00567C3E" w:rsidRPr="001534A8" w:rsidRDefault="00567C3E" w:rsidP="00567C3E">
      <w:pPr>
        <w:pStyle w:val="T"/>
      </w:pPr>
      <w:bookmarkStart w:id="84" w:name="_Toc430872019"/>
      <w:r w:rsidRPr="001534A8">
        <w:t>Tabela 3</w:t>
      </w:r>
      <w:r>
        <w:t>7</w:t>
      </w:r>
      <w:r w:rsidRPr="001534A8">
        <w:t>. Emisja energetyczna zanieczyszczeń z terenu ORSG Powiatu Brodnickiego w 2013 r.</w:t>
      </w:r>
      <w:bookmarkEnd w:id="84"/>
      <w:r w:rsidRPr="001534A8">
        <w:t xml:space="preserve"> </w:t>
      </w:r>
    </w:p>
    <w:tbl>
      <w:tblPr>
        <w:tblW w:w="5193"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firstRow="1" w:lastRow="0" w:firstColumn="1" w:lastColumn="0" w:noHBand="0" w:noVBand="1"/>
      </w:tblPr>
      <w:tblGrid>
        <w:gridCol w:w="1080"/>
        <w:gridCol w:w="781"/>
        <w:gridCol w:w="915"/>
        <w:gridCol w:w="847"/>
        <w:gridCol w:w="1067"/>
        <w:gridCol w:w="984"/>
        <w:gridCol w:w="992"/>
        <w:gridCol w:w="976"/>
        <w:gridCol w:w="990"/>
        <w:gridCol w:w="1015"/>
      </w:tblGrid>
      <w:tr w:rsidR="00567C3E" w:rsidRPr="001534A8" w:rsidTr="00D32FA7">
        <w:trPr>
          <w:jc w:val="center"/>
        </w:trPr>
        <w:tc>
          <w:tcPr>
            <w:tcW w:w="560" w:type="pct"/>
            <w:vMerge w:val="restart"/>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Obszar</w:t>
            </w:r>
          </w:p>
        </w:tc>
        <w:tc>
          <w:tcPr>
            <w:tcW w:w="2895"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Emisja z podmiotów, które podały ich wielkość</w:t>
            </w:r>
          </w:p>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tona/rok</w:t>
            </w:r>
          </w:p>
        </w:tc>
        <w:tc>
          <w:tcPr>
            <w:tcW w:w="1545" w:type="pct"/>
            <w:gridSpan w:val="3"/>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pStyle w:val="Pa9"/>
              <w:jc w:val="center"/>
              <w:rPr>
                <w:rFonts w:ascii="Garamond" w:hAnsi="Garamond"/>
                <w:color w:val="FFFFFF" w:themeColor="background1"/>
                <w:sz w:val="20"/>
                <w:szCs w:val="20"/>
              </w:rPr>
            </w:pPr>
            <w:r w:rsidRPr="001534A8">
              <w:rPr>
                <w:rStyle w:val="A9"/>
                <w:rFonts w:ascii="Garamond" w:hAnsi="Garamond"/>
                <w:color w:val="FFFFFF" w:themeColor="background1"/>
                <w:sz w:val="20"/>
                <w:szCs w:val="20"/>
              </w:rPr>
              <w:t>Zużycie paliwa z pozostałych pod</w:t>
            </w:r>
            <w:r w:rsidRPr="001534A8">
              <w:rPr>
                <w:rStyle w:val="A9"/>
                <w:rFonts w:ascii="Garamond" w:hAnsi="Garamond"/>
                <w:color w:val="FFFFFF" w:themeColor="background1"/>
                <w:sz w:val="20"/>
                <w:szCs w:val="20"/>
              </w:rPr>
              <w:softHyphen/>
              <w:t>miotów, które nie podały wielkości emisji</w:t>
            </w:r>
          </w:p>
        </w:tc>
      </w:tr>
      <w:tr w:rsidR="00567C3E" w:rsidRPr="001534A8" w:rsidTr="00D32FA7">
        <w:trPr>
          <w:jc w:val="center"/>
        </w:trPr>
        <w:tc>
          <w:tcPr>
            <w:tcW w:w="560" w:type="pct"/>
            <w:vMerge/>
            <w:tcBorders>
              <w:top w:val="single" w:sz="4" w:space="0" w:color="FFFFFF" w:themeColor="background1"/>
              <w:left w:val="single" w:sz="4" w:space="0" w:color="824BB0"/>
              <w:bottom w:val="single" w:sz="4" w:space="0" w:color="FFFFFF" w:themeColor="background1"/>
              <w:right w:val="single" w:sz="4" w:space="0" w:color="FFFFFF" w:themeColor="background1"/>
            </w:tcBorders>
            <w:shd w:val="clear" w:color="auto" w:fill="824BB0"/>
          </w:tcPr>
          <w:p w:rsidR="00567C3E" w:rsidRPr="001534A8" w:rsidRDefault="00567C3E" w:rsidP="00D32FA7">
            <w:pPr>
              <w:tabs>
                <w:tab w:val="left" w:pos="7905"/>
              </w:tabs>
              <w:spacing w:after="0"/>
              <w:jc w:val="both"/>
              <w:rPr>
                <w:rFonts w:ascii="Garamond" w:hAnsi="Garamond"/>
                <w:color w:val="FFFFFF" w:themeColor="background1"/>
                <w:sz w:val="20"/>
                <w:szCs w:val="20"/>
              </w:rPr>
            </w:pP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SO</w:t>
            </w:r>
            <w:r w:rsidRPr="001534A8">
              <w:rPr>
                <w:rFonts w:ascii="Garamond" w:hAnsi="Garamond"/>
                <w:color w:val="FFFFFF" w:themeColor="background1"/>
                <w:sz w:val="20"/>
                <w:szCs w:val="20"/>
                <w:vertAlign w:val="subscript"/>
              </w:rPr>
              <w:t>2</w:t>
            </w:r>
          </w:p>
        </w:tc>
        <w:tc>
          <w:tcPr>
            <w:tcW w:w="4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NO</w:t>
            </w:r>
            <w:r w:rsidRPr="001534A8">
              <w:rPr>
                <w:rFonts w:ascii="Garamond" w:hAnsi="Garamond"/>
                <w:color w:val="FFFFFF" w:themeColor="background1"/>
                <w:sz w:val="20"/>
                <w:szCs w:val="20"/>
                <w:vertAlign w:val="subscript"/>
              </w:rPr>
              <w:t>2</w:t>
            </w:r>
          </w:p>
        </w:tc>
        <w:tc>
          <w:tcPr>
            <w:tcW w:w="4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p>
        </w:tc>
        <w:tc>
          <w:tcPr>
            <w:tcW w:w="5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CO</w:t>
            </w:r>
            <w:r w:rsidRPr="001534A8">
              <w:rPr>
                <w:rFonts w:ascii="Garamond" w:hAnsi="Garamond"/>
                <w:color w:val="FFFFFF" w:themeColor="background1"/>
                <w:sz w:val="20"/>
                <w:szCs w:val="20"/>
                <w:vertAlign w:val="subscript"/>
              </w:rPr>
              <w:t>2</w:t>
            </w:r>
          </w:p>
        </w:tc>
        <w:tc>
          <w:tcPr>
            <w:tcW w:w="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ze spalania paliw</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Pyły pozostałe</w:t>
            </w:r>
          </w:p>
        </w:tc>
        <w:tc>
          <w:tcPr>
            <w:tcW w:w="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Węgiel kamienny (Mg)</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Gaz ziemny (dm</w:t>
            </w:r>
            <w:r w:rsidRPr="001534A8">
              <w:rPr>
                <w:rFonts w:ascii="Garamond" w:hAnsi="Garamond"/>
                <w:color w:val="FFFFFF" w:themeColor="background1"/>
                <w:sz w:val="20"/>
                <w:szCs w:val="20"/>
                <w:vertAlign w:val="superscript"/>
              </w:rPr>
              <w:t>3</w:t>
            </w:r>
            <w:r w:rsidRPr="001534A8">
              <w:rPr>
                <w:rFonts w:ascii="Garamond" w:hAnsi="Garamond"/>
                <w:color w:val="FFFFFF" w:themeColor="background1"/>
                <w:sz w:val="20"/>
                <w:szCs w:val="20"/>
              </w:rPr>
              <w: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824BB0"/>
            </w:tcBorders>
            <w:shd w:val="clear" w:color="auto" w:fill="824BB0"/>
            <w:vAlign w:val="center"/>
          </w:tcPr>
          <w:p w:rsidR="00567C3E" w:rsidRPr="001534A8" w:rsidRDefault="00567C3E" w:rsidP="00D32FA7">
            <w:pPr>
              <w:tabs>
                <w:tab w:val="left" w:pos="7905"/>
              </w:tabs>
              <w:spacing w:after="0"/>
              <w:jc w:val="center"/>
              <w:rPr>
                <w:rFonts w:ascii="Garamond" w:hAnsi="Garamond"/>
                <w:color w:val="FFFFFF" w:themeColor="background1"/>
                <w:sz w:val="20"/>
                <w:szCs w:val="20"/>
              </w:rPr>
            </w:pPr>
            <w:r w:rsidRPr="001534A8">
              <w:rPr>
                <w:rFonts w:ascii="Garamond" w:hAnsi="Garamond"/>
                <w:color w:val="FFFFFF" w:themeColor="background1"/>
                <w:sz w:val="20"/>
                <w:szCs w:val="20"/>
              </w:rPr>
              <w:t>Olej opałowy (Mg)</w:t>
            </w:r>
          </w:p>
        </w:tc>
      </w:tr>
      <w:tr w:rsidR="00567C3E" w:rsidRPr="001534A8" w:rsidTr="00D32FA7">
        <w:trPr>
          <w:jc w:val="center"/>
        </w:trPr>
        <w:tc>
          <w:tcPr>
            <w:tcW w:w="560" w:type="pct"/>
            <w:tcBorders>
              <w:top w:val="single" w:sz="4" w:space="0" w:color="FFFFFF" w:themeColor="background1"/>
            </w:tcBorders>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bCs/>
                <w:sz w:val="20"/>
                <w:szCs w:val="20"/>
              </w:rPr>
              <w:t xml:space="preserve">ORSG </w:t>
            </w:r>
          </w:p>
        </w:tc>
        <w:tc>
          <w:tcPr>
            <w:tcW w:w="405"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107,9</w:t>
            </w:r>
          </w:p>
        </w:tc>
        <w:tc>
          <w:tcPr>
            <w:tcW w:w="47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58,1</w:t>
            </w:r>
          </w:p>
        </w:tc>
        <w:tc>
          <w:tcPr>
            <w:tcW w:w="439"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87,1</w:t>
            </w:r>
          </w:p>
        </w:tc>
        <w:tc>
          <w:tcPr>
            <w:tcW w:w="55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45 851,1</w:t>
            </w:r>
          </w:p>
        </w:tc>
        <w:tc>
          <w:tcPr>
            <w:tcW w:w="510" w:type="pct"/>
            <w:tcBorders>
              <w:top w:val="single" w:sz="4" w:space="0" w:color="FFFFFF" w:themeColor="background1"/>
            </w:tcBorders>
            <w:vAlign w:val="center"/>
          </w:tcPr>
          <w:p w:rsidR="00567C3E" w:rsidRPr="001534A8" w:rsidRDefault="00567C3E" w:rsidP="00D32FA7">
            <w:pPr>
              <w:tabs>
                <w:tab w:val="left" w:pos="7905"/>
              </w:tabs>
              <w:spacing w:after="0" w:line="240" w:lineRule="auto"/>
              <w:jc w:val="right"/>
              <w:rPr>
                <w:rFonts w:ascii="Garamond" w:hAnsi="Garamond"/>
                <w:sz w:val="20"/>
                <w:szCs w:val="20"/>
              </w:rPr>
            </w:pPr>
            <w:r w:rsidRPr="001534A8">
              <w:rPr>
                <w:rFonts w:ascii="Garamond" w:hAnsi="Garamond"/>
                <w:sz w:val="20"/>
                <w:szCs w:val="20"/>
              </w:rPr>
              <w:t>59,6</w:t>
            </w:r>
          </w:p>
        </w:tc>
        <w:tc>
          <w:tcPr>
            <w:tcW w:w="514"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3,6</w:t>
            </w:r>
          </w:p>
        </w:tc>
        <w:tc>
          <w:tcPr>
            <w:tcW w:w="50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2 685,3</w:t>
            </w:r>
          </w:p>
        </w:tc>
        <w:tc>
          <w:tcPr>
            <w:tcW w:w="513"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1 238,6</w:t>
            </w:r>
          </w:p>
        </w:tc>
        <w:tc>
          <w:tcPr>
            <w:tcW w:w="526" w:type="pct"/>
            <w:tcBorders>
              <w:top w:val="single" w:sz="4" w:space="0" w:color="FFFFFF" w:themeColor="background1"/>
            </w:tcBorders>
            <w:vAlign w:val="center"/>
          </w:tcPr>
          <w:p w:rsidR="00567C3E" w:rsidRPr="001534A8" w:rsidRDefault="00567C3E" w:rsidP="00D32FA7">
            <w:pPr>
              <w:pStyle w:val="Pa13"/>
              <w:spacing w:line="240" w:lineRule="auto"/>
              <w:jc w:val="right"/>
              <w:rPr>
                <w:rFonts w:ascii="Garamond" w:hAnsi="Garamond"/>
                <w:color w:val="000000"/>
                <w:sz w:val="20"/>
                <w:szCs w:val="20"/>
              </w:rPr>
            </w:pPr>
            <w:r w:rsidRPr="001534A8">
              <w:rPr>
                <w:rStyle w:val="A9"/>
                <w:rFonts w:ascii="Garamond" w:hAnsi="Garamond"/>
                <w:sz w:val="20"/>
                <w:szCs w:val="20"/>
              </w:rPr>
              <w:t>1 463,9</w:t>
            </w:r>
          </w:p>
        </w:tc>
      </w:tr>
      <w:tr w:rsidR="00567C3E" w:rsidRPr="001534A8" w:rsidTr="00D32FA7">
        <w:trPr>
          <w:jc w:val="center"/>
        </w:trPr>
        <w:tc>
          <w:tcPr>
            <w:tcW w:w="560" w:type="pct"/>
          </w:tcPr>
          <w:p w:rsidR="00567C3E" w:rsidRPr="001534A8" w:rsidRDefault="00567C3E" w:rsidP="00D32FA7">
            <w:pPr>
              <w:tabs>
                <w:tab w:val="left" w:pos="7905"/>
              </w:tabs>
              <w:spacing w:after="0"/>
              <w:jc w:val="both"/>
              <w:rPr>
                <w:rFonts w:ascii="Garamond" w:hAnsi="Garamond"/>
                <w:sz w:val="20"/>
                <w:szCs w:val="20"/>
              </w:rPr>
            </w:pPr>
            <w:r w:rsidRPr="001534A8">
              <w:rPr>
                <w:rFonts w:ascii="Garamond" w:hAnsi="Garamond"/>
                <w:sz w:val="20"/>
                <w:szCs w:val="20"/>
              </w:rPr>
              <w:t>Kujawsko-Pomorskie</w:t>
            </w:r>
          </w:p>
        </w:tc>
        <w:tc>
          <w:tcPr>
            <w:tcW w:w="405"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8 107,9</w:t>
            </w:r>
          </w:p>
        </w:tc>
        <w:tc>
          <w:tcPr>
            <w:tcW w:w="47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3 776,9</w:t>
            </w:r>
          </w:p>
        </w:tc>
        <w:tc>
          <w:tcPr>
            <w:tcW w:w="439"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2 366,4</w:t>
            </w:r>
          </w:p>
        </w:tc>
        <w:tc>
          <w:tcPr>
            <w:tcW w:w="55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2 280 774</w:t>
            </w:r>
          </w:p>
        </w:tc>
        <w:tc>
          <w:tcPr>
            <w:tcW w:w="510"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1 590,3</w:t>
            </w:r>
          </w:p>
        </w:tc>
        <w:tc>
          <w:tcPr>
            <w:tcW w:w="514"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49,5</w:t>
            </w:r>
          </w:p>
        </w:tc>
        <w:tc>
          <w:tcPr>
            <w:tcW w:w="50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50 965,7</w:t>
            </w:r>
          </w:p>
        </w:tc>
        <w:tc>
          <w:tcPr>
            <w:tcW w:w="513"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72 103,4</w:t>
            </w:r>
          </w:p>
        </w:tc>
        <w:tc>
          <w:tcPr>
            <w:tcW w:w="526" w:type="pct"/>
            <w:vAlign w:val="center"/>
          </w:tcPr>
          <w:p w:rsidR="00567C3E" w:rsidRPr="001534A8" w:rsidRDefault="00567C3E" w:rsidP="00D32FA7">
            <w:pPr>
              <w:pStyle w:val="Pa13"/>
              <w:spacing w:line="240" w:lineRule="auto"/>
              <w:jc w:val="right"/>
              <w:rPr>
                <w:rFonts w:ascii="Garamond" w:hAnsi="Garamond"/>
                <w:b/>
                <w:color w:val="000000"/>
                <w:sz w:val="20"/>
                <w:szCs w:val="20"/>
              </w:rPr>
            </w:pPr>
            <w:r w:rsidRPr="001534A8">
              <w:rPr>
                <w:rStyle w:val="A9"/>
                <w:rFonts w:ascii="Garamond" w:hAnsi="Garamond"/>
                <w:sz w:val="20"/>
                <w:szCs w:val="20"/>
              </w:rPr>
              <w:t>26 145,5</w:t>
            </w:r>
          </w:p>
        </w:tc>
      </w:tr>
    </w:tbl>
    <w:p w:rsidR="00567C3E" w:rsidRPr="001534A8" w:rsidRDefault="00567C3E" w:rsidP="00567C3E">
      <w:pPr>
        <w:tabs>
          <w:tab w:val="left" w:pos="7905"/>
        </w:tabs>
        <w:spacing w:before="120" w:after="120"/>
        <w:jc w:val="both"/>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Raportu o stanie środowiska województwa kujawsko-pomorskiego w 2013 r., WIOŚ w Bydgoszczy</w:t>
      </w:r>
      <w:r w:rsidRPr="001534A8">
        <w:rPr>
          <w:rFonts w:ascii="Garamond" w:hAnsi="Garamond"/>
        </w:rPr>
        <w:t xml:space="preserve">. </w:t>
      </w:r>
    </w:p>
    <w:p w:rsidR="00567C3E" w:rsidRPr="001534A8" w:rsidRDefault="00567C3E" w:rsidP="00567C3E">
      <w:pPr>
        <w:tabs>
          <w:tab w:val="left" w:pos="7905"/>
        </w:tabs>
        <w:spacing w:after="120"/>
        <w:ind w:firstLine="709"/>
        <w:jc w:val="both"/>
        <w:rPr>
          <w:rFonts w:ascii="Garamond" w:hAnsi="Garamond"/>
        </w:rPr>
      </w:pPr>
      <w:r w:rsidRPr="001534A8">
        <w:rPr>
          <w:rFonts w:ascii="Garamond" w:hAnsi="Garamond"/>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hAnsi="Garamond"/>
        </w:rPr>
        <w:t>nieinwestycyjnych</w:t>
      </w:r>
      <w:proofErr w:type="spellEnd"/>
      <w:r w:rsidRPr="001534A8">
        <w:rPr>
          <w:rFonts w:ascii="Garamond" w:hAnsi="Garamond"/>
        </w:rPr>
        <w:t xml:space="preserve"> związanych z promowaniem gospodarki niskoemisyjnej wśród mieszkańców i przedsiębiorstw. </w:t>
      </w:r>
    </w:p>
    <w:p w:rsidR="00567C3E" w:rsidRPr="001534A8" w:rsidRDefault="00567C3E" w:rsidP="00567C3E">
      <w:pPr>
        <w:tabs>
          <w:tab w:val="left" w:pos="709"/>
        </w:tabs>
        <w:spacing w:after="120"/>
        <w:jc w:val="both"/>
        <w:rPr>
          <w:rFonts w:ascii="Garamond" w:hAnsi="Garamond"/>
          <w:b/>
        </w:rPr>
      </w:pPr>
      <w:r w:rsidRPr="001534A8">
        <w:rPr>
          <w:rFonts w:ascii="Garamond" w:hAnsi="Garamond"/>
        </w:rPr>
        <w:tab/>
      </w:r>
      <w:r w:rsidRPr="001534A8">
        <w:rPr>
          <w:rFonts w:ascii="Garamond" w:hAnsi="Garamond"/>
          <w:b/>
        </w:rPr>
        <w:t>Zestawienie najważniejszych obiektów użyteczności publicznej wymagających modernizacji energetycznej oraz stopień wykorzystania odnawialnych źródeł energii w gminach ORSG przedstawiono w Załączniku nr 15 do Strategii.</w:t>
      </w:r>
    </w:p>
    <w:p w:rsidR="00567C3E" w:rsidRPr="001534A8" w:rsidRDefault="00567C3E" w:rsidP="00567C3E">
      <w:pPr>
        <w:pStyle w:val="Nagwek2"/>
        <w:rPr>
          <w:color w:val="B1059D"/>
        </w:rPr>
      </w:pPr>
      <w:r w:rsidRPr="001534A8">
        <w:rPr>
          <w:color w:val="B1059D"/>
        </w:rPr>
        <w:t>Plany Gospodarki Niskoemisyjnej</w:t>
      </w:r>
    </w:p>
    <w:p w:rsidR="00567C3E" w:rsidRPr="001534A8" w:rsidRDefault="00567C3E" w:rsidP="00567C3E">
      <w:pPr>
        <w:jc w:val="both"/>
        <w:rPr>
          <w:rFonts w:ascii="Garamond" w:hAnsi="Garamond"/>
        </w:rPr>
      </w:pPr>
      <w:r w:rsidRPr="001534A8">
        <w:tab/>
      </w:r>
      <w:r w:rsidRPr="001534A8">
        <w:rPr>
          <w:rFonts w:ascii="Garamond" w:hAnsi="Garamond"/>
        </w:rPr>
        <w:t xml:space="preserve">Zgodnie z zapisami Regionalnego Programu Operacyjnego Województwa Kujawsko – Pomorskiego na lata 2014-2020, realizacja jakichkolwiek działań wpisujących się w zakres Priorytetów Inwestycyjnych 4c i 4e musi wynikać z planów gospodarki niskoemisyjnej dla danego obszaru. </w:t>
      </w:r>
    </w:p>
    <w:p w:rsidR="00567C3E" w:rsidRPr="001534A8" w:rsidRDefault="00567C3E" w:rsidP="00567C3E">
      <w:pPr>
        <w:jc w:val="both"/>
        <w:rPr>
          <w:rFonts w:ascii="Garamond" w:hAnsi="Garamond"/>
        </w:rPr>
      </w:pPr>
      <w:r w:rsidRPr="001534A8">
        <w:rPr>
          <w:rFonts w:ascii="Garamond" w:hAnsi="Garamond"/>
        </w:rPr>
        <w:tab/>
        <w:t>Poniższa tabela zawiera zestawienie informacji o stanie przygotowania takich planów przez poszczególne gminy Powiatu Brodnickiego.</w:t>
      </w:r>
    </w:p>
    <w:p w:rsidR="00567C3E" w:rsidRPr="001534A8" w:rsidRDefault="00567C3E" w:rsidP="00567C3E">
      <w:pPr>
        <w:jc w:val="both"/>
        <w:rPr>
          <w:rFonts w:ascii="Garamond" w:hAnsi="Garamond"/>
        </w:rPr>
      </w:pPr>
    </w:p>
    <w:p w:rsidR="00567C3E" w:rsidRPr="001534A8" w:rsidRDefault="00567C3E" w:rsidP="00567C3E">
      <w:pPr>
        <w:jc w:val="both"/>
        <w:rPr>
          <w:rFonts w:ascii="Garamond" w:hAnsi="Garamond"/>
        </w:rPr>
      </w:pPr>
    </w:p>
    <w:p w:rsidR="00567C3E" w:rsidRPr="001534A8" w:rsidRDefault="00567C3E" w:rsidP="00567C3E">
      <w:pPr>
        <w:pStyle w:val="T"/>
      </w:pPr>
      <w:bookmarkStart w:id="85" w:name="_Toc430872020"/>
      <w:r w:rsidRPr="001534A8">
        <w:lastRenderedPageBreak/>
        <w:t>Tabela 3</w:t>
      </w:r>
      <w:r>
        <w:t>8</w:t>
      </w:r>
      <w:r w:rsidRPr="001534A8">
        <w:t>. Plany Gospodarki Niskoemisyjnej poszczególnych gmin Powiatu Brodnickiego</w:t>
      </w:r>
      <w:bookmarkEnd w:id="85"/>
    </w:p>
    <w:tbl>
      <w:tblPr>
        <w:tblW w:w="0" w:type="auto"/>
        <w:tblInd w:w="534"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84"/>
        <w:gridCol w:w="6694"/>
      </w:tblGrid>
      <w:tr w:rsidR="00567C3E" w:rsidRPr="001534A8" w:rsidTr="00D32FA7">
        <w:trPr>
          <w:trHeight w:val="392"/>
        </w:trPr>
        <w:tc>
          <w:tcPr>
            <w:tcW w:w="1984" w:type="dxa"/>
            <w:tcBorders>
              <w:righ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Jednostka terytorialna</w:t>
            </w:r>
          </w:p>
        </w:tc>
        <w:tc>
          <w:tcPr>
            <w:tcW w:w="6694" w:type="dxa"/>
            <w:tcBorders>
              <w:left w:val="single" w:sz="4" w:space="0" w:color="FFFFFF" w:themeColor="background1"/>
            </w:tcBorders>
            <w:shd w:val="clear" w:color="auto" w:fill="824BB0"/>
            <w:vAlign w:val="center"/>
          </w:tcPr>
          <w:p w:rsidR="00567C3E" w:rsidRPr="001534A8" w:rsidRDefault="00567C3E" w:rsidP="00D32FA7">
            <w:pPr>
              <w:jc w:val="center"/>
              <w:rPr>
                <w:rFonts w:ascii="Garamond" w:hAnsi="Garamond"/>
                <w:color w:val="FFFFFF" w:themeColor="background1"/>
                <w:sz w:val="20"/>
                <w:szCs w:val="20"/>
              </w:rPr>
            </w:pPr>
            <w:r w:rsidRPr="001534A8">
              <w:rPr>
                <w:rFonts w:ascii="Garamond" w:hAnsi="Garamond"/>
                <w:color w:val="FFFFFF" w:themeColor="background1"/>
                <w:sz w:val="20"/>
                <w:szCs w:val="20"/>
              </w:rPr>
              <w:t>Odwołanie do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Bartniczka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Bartniczka posiada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Bobrowo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Bobrowo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g.m</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posiada Plan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 xml:space="preserve">Brodnica </w:t>
            </w:r>
            <w:proofErr w:type="spellStart"/>
            <w:r w:rsidRPr="001534A8">
              <w:rPr>
                <w:rFonts w:ascii="Garamond" w:eastAsia="Times New Roman" w:hAnsi="Garamond" w:cs="Arial"/>
                <w:sz w:val="20"/>
                <w:szCs w:val="20"/>
              </w:rPr>
              <w:t>g.w</w:t>
            </w:r>
            <w:proofErr w:type="spellEnd"/>
            <w:r w:rsidRPr="001534A8">
              <w:rPr>
                <w:rFonts w:ascii="Garamond" w:eastAsia="Times New Roman" w:hAnsi="Garamond" w:cs="Arial"/>
                <w:sz w:val="20"/>
                <w:szCs w:val="20"/>
              </w:rPr>
              <w:t>.</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 xml:space="preserve">Gmina Brodnica jest obecnie w trakcie opracowywania Planu Gospodarki Niskoemisyjnej. </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Brzozie</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Brzozie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Górzno</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proofErr w:type="spellStart"/>
            <w:r w:rsidRPr="001534A8">
              <w:rPr>
                <w:rFonts w:ascii="Garamond" w:eastAsia="Times New Roman" w:hAnsi="Garamond" w:cs="Arial"/>
                <w:sz w:val="20"/>
                <w:szCs w:val="20"/>
              </w:rPr>
              <w:t>Jabłonowo-Pomorskie</w:t>
            </w:r>
            <w:proofErr w:type="spellEnd"/>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Miasto i Gmina Jabłonowo Pomorskie posiada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Osiek</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planuje opracować Plan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Świedziebnia</w:t>
            </w:r>
          </w:p>
        </w:tc>
        <w:tc>
          <w:tcPr>
            <w:tcW w:w="6694" w:type="dxa"/>
            <w:vAlign w:val="center"/>
          </w:tcPr>
          <w:p w:rsidR="00567C3E" w:rsidRPr="00BD1254" w:rsidRDefault="00567C3E" w:rsidP="00D32FA7">
            <w:pPr>
              <w:spacing w:before="20" w:after="20"/>
              <w:rPr>
                <w:rFonts w:ascii="Garamond" w:hAnsi="Garamond"/>
                <w:sz w:val="20"/>
                <w:szCs w:val="20"/>
              </w:rPr>
            </w:pPr>
            <w:r w:rsidRPr="00BD1254">
              <w:rPr>
                <w:rFonts w:ascii="Garamond" w:hAnsi="Garamond"/>
                <w:sz w:val="20"/>
                <w:szCs w:val="20"/>
              </w:rPr>
              <w:t>Gmina jest w trakcie opracowywania Planu Gospodarki Niskoemisyjnej</w:t>
            </w:r>
          </w:p>
        </w:tc>
      </w:tr>
      <w:tr w:rsidR="00567C3E" w:rsidRPr="001534A8" w:rsidTr="00D32FA7">
        <w:tc>
          <w:tcPr>
            <w:tcW w:w="1984" w:type="dxa"/>
          </w:tcPr>
          <w:p w:rsidR="00567C3E" w:rsidRPr="001534A8" w:rsidRDefault="00567C3E" w:rsidP="00D32FA7">
            <w:pPr>
              <w:spacing w:before="40" w:after="40"/>
              <w:rPr>
                <w:rFonts w:ascii="Garamond" w:eastAsia="Times New Roman" w:hAnsi="Garamond" w:cs="Arial"/>
                <w:sz w:val="20"/>
                <w:szCs w:val="20"/>
              </w:rPr>
            </w:pPr>
            <w:r w:rsidRPr="001534A8">
              <w:rPr>
                <w:rFonts w:ascii="Garamond" w:eastAsia="Times New Roman" w:hAnsi="Garamond" w:cs="Arial"/>
                <w:sz w:val="20"/>
                <w:szCs w:val="20"/>
              </w:rPr>
              <w:t>Zbiczno</w:t>
            </w:r>
          </w:p>
        </w:tc>
        <w:tc>
          <w:tcPr>
            <w:tcW w:w="6694" w:type="dxa"/>
            <w:vAlign w:val="center"/>
          </w:tcPr>
          <w:p w:rsidR="00567C3E" w:rsidRPr="00BD1254" w:rsidRDefault="00567C3E" w:rsidP="00D32FA7">
            <w:pPr>
              <w:spacing w:before="20" w:after="20"/>
              <w:rPr>
                <w:rFonts w:ascii="Garamond" w:hAnsi="Garamond" w:cs="Arial"/>
                <w:sz w:val="20"/>
                <w:szCs w:val="20"/>
              </w:rPr>
            </w:pPr>
            <w:r w:rsidRPr="00BD1254">
              <w:rPr>
                <w:rFonts w:ascii="Garamond" w:hAnsi="Garamond"/>
                <w:sz w:val="20"/>
                <w:szCs w:val="20"/>
              </w:rPr>
              <w:t>W Gminie Zbiczno planuje się opracować Plan Gospodarki Niskoemisyjnej</w:t>
            </w:r>
          </w:p>
        </w:tc>
      </w:tr>
    </w:tbl>
    <w:p w:rsidR="00567C3E" w:rsidRPr="001534A8" w:rsidRDefault="00567C3E" w:rsidP="00567C3E">
      <w:pPr>
        <w:spacing w:before="120" w:after="240"/>
        <w:rPr>
          <w:rFonts w:ascii="Garamond" w:hAnsi="Garamond"/>
        </w:rPr>
      </w:pPr>
      <w:r w:rsidRPr="001534A8">
        <w:rPr>
          <w:rFonts w:ascii="Garamond" w:hAnsi="Garamond"/>
          <w:sz w:val="20"/>
        </w:rPr>
        <w:t xml:space="preserve">Źródło: </w:t>
      </w:r>
      <w:r w:rsidRPr="001534A8">
        <w:rPr>
          <w:rFonts w:ascii="Garamond" w:hAnsi="Garamond"/>
          <w:i/>
          <w:sz w:val="20"/>
        </w:rPr>
        <w:t>Opracowanie własne na podstawie materiałów i informacji z urzędów gmin.</w:t>
      </w:r>
    </w:p>
    <w:p w:rsidR="00567C3E" w:rsidRPr="001534A8" w:rsidRDefault="00567C3E" w:rsidP="00567C3E">
      <w:pPr>
        <w:keepNext/>
        <w:keepLines/>
        <w:spacing w:before="240" w:after="240" w:line="240" w:lineRule="auto"/>
        <w:jc w:val="both"/>
        <w:outlineLvl w:val="1"/>
        <w:rPr>
          <w:rFonts w:ascii="Garamond" w:eastAsia="Times New Roman" w:hAnsi="Garamond" w:cs="Times New Roman"/>
          <w:b/>
          <w:bCs/>
          <w:color w:val="B1059D"/>
          <w:sz w:val="24"/>
          <w:szCs w:val="26"/>
        </w:rPr>
      </w:pPr>
      <w:r w:rsidRPr="001534A8">
        <w:rPr>
          <w:rFonts w:ascii="Garamond" w:eastAsia="Times New Roman" w:hAnsi="Garamond" w:cs="Times New Roman"/>
          <w:b/>
          <w:bCs/>
          <w:color w:val="B1059D"/>
          <w:sz w:val="24"/>
          <w:szCs w:val="26"/>
        </w:rPr>
        <w:t>Kluczowe wnioski i obserwacje</w:t>
      </w:r>
    </w:p>
    <w:tbl>
      <w:tblPr>
        <w:tblStyle w:val="Tabela-Siatka"/>
        <w:tblW w:w="5000" w:type="pct"/>
        <w:tblLook w:val="04A0" w:firstRow="1" w:lastRow="0" w:firstColumn="1" w:lastColumn="0" w:noHBand="0" w:noVBand="1"/>
      </w:tblPr>
      <w:tblGrid>
        <w:gridCol w:w="1592"/>
        <w:gridCol w:w="7696"/>
      </w:tblGrid>
      <w:tr w:rsidR="00567C3E" w:rsidRPr="001534A8" w:rsidTr="00D32FA7">
        <w:tc>
          <w:tcPr>
            <w:tcW w:w="5000" w:type="pct"/>
            <w:gridSpan w:val="2"/>
            <w:tcBorders>
              <w:top w:val="single" w:sz="4" w:space="0" w:color="824BB0"/>
              <w:left w:val="single" w:sz="4" w:space="0" w:color="824BB0"/>
              <w:bottom w:val="single" w:sz="4" w:space="0" w:color="824BB0"/>
            </w:tcBorders>
            <w:shd w:val="clear" w:color="auto" w:fill="824BB0"/>
          </w:tcPr>
          <w:p w:rsidR="00567C3E" w:rsidRPr="001534A8" w:rsidRDefault="00567C3E" w:rsidP="00D32FA7">
            <w:pPr>
              <w:spacing w:before="40" w:after="40"/>
              <w:jc w:val="center"/>
              <w:rPr>
                <w:rFonts w:ascii="Garamond" w:eastAsia="Calibri" w:hAnsi="Garamond" w:cs="Times New Roman"/>
                <w:b/>
                <w:color w:val="FFFFFF"/>
                <w:sz w:val="20"/>
                <w:szCs w:val="20"/>
              </w:rPr>
            </w:pPr>
            <w:r w:rsidRPr="001534A8">
              <w:rPr>
                <w:rFonts w:ascii="Garamond" w:eastAsia="Calibri" w:hAnsi="Garamond" w:cs="Times New Roman"/>
                <w:b/>
                <w:color w:val="FFFFFF"/>
                <w:sz w:val="20"/>
                <w:szCs w:val="20"/>
              </w:rPr>
              <w:t>Kluczowe wnioski i obserwacje</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395D358A" wp14:editId="47DBBC3C">
                  <wp:extent cx="539654" cy="540000"/>
                  <wp:effectExtent l="19050" t="0" r="0" b="0"/>
                  <wp:docPr id="8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one_lavender.jpg"/>
                          <pic:cNvPicPr/>
                        </pic:nvPicPr>
                        <pic:blipFill>
                          <a:blip r:embed="rId3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Obszar ORSG w porównaniu do innych powiatów województwa kujawsko-pomorskiego w aspekcie emisji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i pyłów do atmosfery notuje wartości średnie lub niższe. Jego udział w emisji wszystkich zanieczyszczeń emitowanych w województwie kujawsko-pomorskim w 2013 r. wynosił: dla gazów SO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NO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CO, CO</w:t>
            </w:r>
            <w:r w:rsidRPr="001534A8">
              <w:rPr>
                <w:rFonts w:ascii="Garamond" w:eastAsia="Calibri" w:hAnsi="Garamond" w:cs="Times New Roman"/>
                <w:sz w:val="20"/>
                <w:szCs w:val="20"/>
                <w:vertAlign w:val="subscript"/>
              </w:rPr>
              <w:t>2</w:t>
            </w:r>
            <w:r w:rsidRPr="001534A8">
              <w:rPr>
                <w:rFonts w:ascii="Garamond" w:eastAsia="Calibri" w:hAnsi="Garamond" w:cs="Times New Roman"/>
                <w:sz w:val="20"/>
                <w:szCs w:val="20"/>
              </w:rPr>
              <w:t xml:space="preserve"> – średnio 2,14%, dla pyłów – 3,85% (dotyczy wielkości emisji z podmiotów, które podały ich wielkość)</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noProof/>
                <w:sz w:val="20"/>
                <w:szCs w:val="20"/>
              </w:rPr>
            </w:pPr>
            <w:r w:rsidRPr="001534A8">
              <w:rPr>
                <w:rFonts w:ascii="Garamond" w:eastAsia="Calibri" w:hAnsi="Garamond" w:cs="Times New Roman"/>
                <w:noProof/>
                <w:sz w:val="20"/>
                <w:szCs w:val="20"/>
              </w:rPr>
              <w:drawing>
                <wp:inline distT="0" distB="0" distL="0" distR="0" wp14:anchorId="53D1201D" wp14:editId="18C9DBF8">
                  <wp:extent cx="539654" cy="540000"/>
                  <wp:effectExtent l="19050" t="0" r="0" b="0"/>
                  <wp:docPr id="89"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wo_lavender.jpg"/>
                          <pic:cNvPicPr/>
                        </pic:nvPicPr>
                        <pic:blipFill>
                          <a:blip r:embed="rId32"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 xml:space="preserve">Działania gmin z terenu ORSG, w obszarze zmniejszenia emisji gazów cieplarnianych do atmosfery i poprawy jakości powietrza, skupiać powinny się przede wszystkim na zadaniach inwestycyjnych dotyczących modernizacji energetycznej budynków użyteczności publicznej oraz w równie dużym stopniu na zadaniach </w:t>
            </w:r>
            <w:proofErr w:type="spellStart"/>
            <w:r w:rsidRPr="001534A8">
              <w:rPr>
                <w:rFonts w:ascii="Garamond" w:eastAsia="Calibri" w:hAnsi="Garamond" w:cs="Times New Roman"/>
                <w:sz w:val="20"/>
                <w:szCs w:val="20"/>
              </w:rPr>
              <w:t>nieinwestycyjnych</w:t>
            </w:r>
            <w:proofErr w:type="spellEnd"/>
            <w:r w:rsidRPr="001534A8">
              <w:rPr>
                <w:rFonts w:ascii="Garamond" w:eastAsia="Calibri" w:hAnsi="Garamond" w:cs="Times New Roman"/>
                <w:sz w:val="20"/>
                <w:szCs w:val="20"/>
              </w:rPr>
              <w:t xml:space="preserve"> związanych z promowaniem gospodarki niskoemisyjnej wśród mieszkańców i przedsiębiorstw</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13086DFF" wp14:editId="45708C41">
                  <wp:extent cx="539654" cy="540000"/>
                  <wp:effectExtent l="19050" t="0" r="0" b="0"/>
                  <wp:docPr id="90"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three_lavender.jpg"/>
                          <pic:cNvPicPr/>
                        </pic:nvPicPr>
                        <pic:blipFill>
                          <a:blip r:embed="rId33"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W ostatnich latach na terenie ORSG poczyniono wiele inwestycji w zakresie modernizacji energetycznej budynków użyteczności publicznej. Przede wszystkim dokonano wymiany stolarki okiennej i drzwiowej, docieplenia ścian, bądź wymiany źródła ciepła. Ze względu na wysokie koszty, inwestycje te nie były realizowane kompleksowo (w pierwszej kolejności realizowano te, które wymagały natychmiastowej interwencji). W związku z tym, wiele budynków wymaga jeszcze dalszych działań modernizacyjnych. Większa część budynków samorządowych nie została jednak objęta żadnymi działaniami w tym zakresie. Natomiast w odniesieniu do budynków wielorodzinnych w ostatnich latach nie poczyniono większych inwestycji w zakresie modernizacji energetycznej, w związku z czym znaczna ich liczba wymaga przeprowadzenia tego typu działań. Dotyczy to przede wszystkim miast obszaru</w:t>
            </w:r>
          </w:p>
        </w:tc>
      </w:tr>
      <w:tr w:rsidR="00567C3E" w:rsidRPr="001534A8" w:rsidTr="00D32FA7">
        <w:tc>
          <w:tcPr>
            <w:tcW w:w="857"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eastAsia="Calibri" w:hAnsi="Garamond" w:cs="Times New Roman"/>
                <w:sz w:val="20"/>
                <w:szCs w:val="20"/>
              </w:rPr>
            </w:pPr>
            <w:r w:rsidRPr="001534A8">
              <w:rPr>
                <w:rFonts w:ascii="Garamond" w:eastAsia="Calibri" w:hAnsi="Garamond" w:cs="Times New Roman"/>
                <w:noProof/>
                <w:sz w:val="20"/>
                <w:szCs w:val="20"/>
              </w:rPr>
              <w:drawing>
                <wp:inline distT="0" distB="0" distL="0" distR="0" wp14:anchorId="09C1716F" wp14:editId="5D295E4E">
                  <wp:extent cx="539654" cy="540000"/>
                  <wp:effectExtent l="19050" t="0" r="0" b="0"/>
                  <wp:docPr id="91"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four_lavender.jpg"/>
                          <pic:cNvPicPr/>
                        </pic:nvPicPr>
                        <pic:blipFill>
                          <a:blip r:embed="rId41" cstate="print"/>
                          <a:stretch>
                            <a:fillRect/>
                          </a:stretch>
                        </pic:blipFill>
                        <pic:spPr>
                          <a:xfrm>
                            <a:off x="0" y="0"/>
                            <a:ext cx="539654" cy="540000"/>
                          </a:xfrm>
                          <a:prstGeom prst="rect">
                            <a:avLst/>
                          </a:prstGeom>
                        </pic:spPr>
                      </pic:pic>
                    </a:graphicData>
                  </a:graphic>
                </wp:inline>
              </w:drawing>
            </w:r>
          </w:p>
        </w:tc>
        <w:tc>
          <w:tcPr>
            <w:tcW w:w="4143" w:type="pc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both"/>
              <w:rPr>
                <w:rFonts w:ascii="Garamond" w:eastAsia="Calibri" w:hAnsi="Garamond" w:cs="Times New Roman"/>
                <w:sz w:val="20"/>
                <w:szCs w:val="20"/>
              </w:rPr>
            </w:pPr>
            <w:r w:rsidRPr="001534A8">
              <w:rPr>
                <w:rFonts w:ascii="Garamond" w:eastAsia="Calibri" w:hAnsi="Garamond" w:cs="Times New Roman"/>
                <w:sz w:val="20"/>
                <w:szCs w:val="20"/>
              </w:rPr>
              <w:t>Podczas planowania inwestycji modernizacyjnych, należałoby zwrócić uwagę na większe wykorzystanie odnawialnych źródeł energii. Do tej pory bowiem, OZE na terenie ORSG wykorzystywane jest w bardzo niewielkim zakresie</w:t>
            </w:r>
          </w:p>
        </w:tc>
      </w:tr>
    </w:tbl>
    <w:p w:rsidR="00567C3E" w:rsidRPr="001534A8" w:rsidRDefault="00567C3E" w:rsidP="00567C3E">
      <w:pPr>
        <w:pStyle w:val="S2"/>
        <w:ind w:firstLine="0"/>
        <w:sectPr w:rsidR="00567C3E" w:rsidRPr="001534A8" w:rsidSect="00D32FA7">
          <w:pgSz w:w="11906" w:h="16838"/>
          <w:pgMar w:top="1417" w:right="1417" w:bottom="1417" w:left="1417" w:header="708" w:footer="708" w:gutter="0"/>
          <w:cols w:space="708"/>
          <w:docGrid w:linePitch="360"/>
        </w:sectPr>
      </w:pPr>
      <w:bookmarkStart w:id="86" w:name="_Toc41522816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503"/>
      </w:tblGrid>
      <w:tr w:rsidR="00567C3E" w:rsidRPr="001534A8" w:rsidTr="00D32FA7">
        <w:tc>
          <w:tcPr>
            <w:tcW w:w="2576" w:type="pct"/>
            <w:vAlign w:val="center"/>
          </w:tcPr>
          <w:p w:rsidR="00567C3E" w:rsidRPr="001534A8" w:rsidRDefault="00567C3E" w:rsidP="00D32FA7">
            <w:pPr>
              <w:pStyle w:val="ST3"/>
            </w:pPr>
            <w:bookmarkStart w:id="87" w:name="_Toc419705525"/>
            <w:r w:rsidRPr="001534A8">
              <w:lastRenderedPageBreak/>
              <w:t>Podsumowanie diagnozy</w:t>
            </w:r>
          </w:p>
        </w:tc>
        <w:tc>
          <w:tcPr>
            <w:tcW w:w="2424" w:type="pct"/>
          </w:tcPr>
          <w:p w:rsidR="00567C3E" w:rsidRPr="001534A8" w:rsidRDefault="00567C3E" w:rsidP="00D32FA7">
            <w:pPr>
              <w:pStyle w:val="ST3"/>
              <w:ind w:left="0" w:firstLine="0"/>
              <w:jc w:val="center"/>
            </w:pPr>
            <w:r w:rsidRPr="001534A8">
              <w:object w:dxaOrig="3420" w:dyaOrig="3135">
                <v:shape id="_x0000_i1035" type="#_x0000_t75" style="width:85.5pt;height:78.75pt" o:ole="">
                  <v:imagedata r:id="rId63" o:title=""/>
                </v:shape>
                <o:OLEObject Type="Embed" ProgID="PBrush" ShapeID="_x0000_i1035" DrawAspect="Content" ObjectID="_1592972283" r:id="rId64"/>
              </w:object>
            </w:r>
          </w:p>
        </w:tc>
      </w:tr>
    </w:tbl>
    <w:p w:rsidR="00567C3E" w:rsidRPr="001534A8" w:rsidRDefault="00567C3E" w:rsidP="00567C3E">
      <w:pPr>
        <w:pStyle w:val="ST3"/>
        <w:ind w:firstLine="0"/>
      </w:pPr>
    </w:p>
    <w:bookmarkEnd w:id="86"/>
    <w:bookmarkEnd w:id="87"/>
    <w:p w:rsidR="00567C3E" w:rsidRPr="001534A8" w:rsidRDefault="00567C3E" w:rsidP="00567C3E">
      <w:pPr>
        <w:spacing w:after="120"/>
        <w:ind w:firstLine="708"/>
        <w:jc w:val="both"/>
        <w:rPr>
          <w:rFonts w:ascii="Garamond" w:hAnsi="Garamond"/>
        </w:rPr>
      </w:pPr>
      <w:r w:rsidRPr="001534A8">
        <w:rPr>
          <w:rFonts w:ascii="Garamond" w:hAnsi="Garamond"/>
        </w:rPr>
        <w:t xml:space="preserve">Diagnoza uwarunkowań i stanu rozwoju ORSG Powiatu Brodnickiego została przeprowadzona we wszystkich najważniejszych obszarach (położenie geograficzne, demografia, rynek pracy, pomoc społeczna, ochrona zdrowia, edukacja, kultura, rewitalizacja, środowisko przyrodnicze, infrastruktura techniczna), których analiza pozwala dokonać oceny stanu homogeniczności </w:t>
      </w:r>
      <w:r>
        <w:rPr>
          <w:rFonts w:ascii="Garamond" w:hAnsi="Garamond"/>
        </w:rPr>
        <w:t>P</w:t>
      </w:r>
      <w:r w:rsidRPr="001534A8">
        <w:rPr>
          <w:rFonts w:ascii="Garamond" w:hAnsi="Garamond"/>
        </w:rPr>
        <w:t>owiatu pod kątem przede wszystkim jakości życia oraz stanu rozwoju gospodarczego i określenia jego cech specyficznych.</w:t>
      </w:r>
    </w:p>
    <w:p w:rsidR="00567C3E" w:rsidRPr="001534A8" w:rsidRDefault="00567C3E" w:rsidP="00567C3E">
      <w:pPr>
        <w:spacing w:after="120"/>
        <w:ind w:firstLine="708"/>
        <w:jc w:val="both"/>
        <w:rPr>
          <w:rFonts w:ascii="Garamond" w:hAnsi="Garamond"/>
        </w:rPr>
      </w:pPr>
      <w:r w:rsidRPr="001534A8">
        <w:rPr>
          <w:rFonts w:ascii="Garamond" w:hAnsi="Garamond"/>
        </w:rPr>
        <w:t xml:space="preserve">Z przeprowadzonych analiz wynika, że zróżnicowania wewnątrz powiatowe są dość łatwo zauważalne w obszarze gospodarczym. Znacznie dynamicznej rozwija się centralna część obszaru – w szczególności miasto Brodnica oraz gmina Brodnica. Te dwie gminy zamieszkuje prawie połowa (46%) mieszkańców całego </w:t>
      </w:r>
      <w:r>
        <w:rPr>
          <w:rFonts w:ascii="Garamond" w:hAnsi="Garamond"/>
        </w:rPr>
        <w:t>P</w:t>
      </w:r>
      <w:r w:rsidRPr="001534A8">
        <w:rPr>
          <w:rFonts w:ascii="Garamond" w:hAnsi="Garamond"/>
        </w:rPr>
        <w:t xml:space="preserve">owiatu. Tu również prężniej rozwija się gospodarka (zlokalizowanych jest prawie 55% wszystkich przedsiębiorstw). W latach 2003-2013 na ORSG Powiatu Brodnickiego najbardziej wzrosła liczba mieszkańców gminy Brodnica (23,2%) co może mieć związek z powszechnie występującym trendem osiedlenia się ludności na obszarze podmiejskim. W tym samym czasie liczba osób zamieszkujących miasto Brodnicę zwiększyła się o 4,6%. </w:t>
      </w:r>
    </w:p>
    <w:p w:rsidR="00567C3E" w:rsidRPr="001534A8" w:rsidRDefault="00567C3E" w:rsidP="00567C3E">
      <w:pPr>
        <w:spacing w:after="120"/>
        <w:ind w:firstLine="708"/>
        <w:jc w:val="both"/>
        <w:rPr>
          <w:rFonts w:ascii="Garamond" w:hAnsi="Garamond"/>
        </w:rPr>
      </w:pPr>
      <w:r w:rsidRPr="001534A8">
        <w:rPr>
          <w:rFonts w:ascii="Garamond" w:hAnsi="Garamond"/>
        </w:rPr>
        <w:t>Położenie Powiatu nie jest jego mocną stroną. Znajduje się on w dość dużych odległościach od Bydgoszczy i Torunia – miast stanowiących największe ośrodki gospodarcze, akademickie i kulturalne województwa. W związku z powyższym Powiat nie ma takich możliwości czerpania korzyści z tych ośrodków, jak Powiaty znajdujące się w ich bezpośrednim sąsiedztwie.</w:t>
      </w:r>
    </w:p>
    <w:p w:rsidR="00567C3E" w:rsidRPr="001534A8" w:rsidRDefault="00567C3E" w:rsidP="00567C3E">
      <w:pPr>
        <w:spacing w:after="120"/>
        <w:ind w:firstLine="708"/>
        <w:jc w:val="both"/>
        <w:rPr>
          <w:rFonts w:ascii="Garamond" w:hAnsi="Garamond"/>
        </w:rPr>
      </w:pPr>
      <w:r w:rsidRPr="001534A8">
        <w:rPr>
          <w:rFonts w:ascii="Garamond" w:hAnsi="Garamond"/>
        </w:rPr>
        <w:t xml:space="preserve">Szansą na rozwój ORSG Powiatu Brodnickiego i jednocześnie potencjałem jest jego atrakcyjne przyrodniczo i turystycznie położenie. W powiecie występuje wysoki udział obszarów chronionych.   </w:t>
      </w:r>
    </w:p>
    <w:p w:rsidR="00567C3E" w:rsidRPr="001534A8" w:rsidRDefault="00567C3E" w:rsidP="00567C3E">
      <w:pPr>
        <w:spacing w:after="120"/>
        <w:ind w:firstLine="708"/>
        <w:jc w:val="both"/>
        <w:rPr>
          <w:rFonts w:ascii="Garamond" w:hAnsi="Garamond"/>
        </w:rPr>
      </w:pPr>
      <w:r w:rsidRPr="001534A8">
        <w:rPr>
          <w:rFonts w:ascii="Garamond" w:hAnsi="Garamond"/>
        </w:rPr>
        <w:t xml:space="preserve">Ponadto można stwierdzić, że ogólnie pojęta jakość życia w centralnej części obszaru jest wyższa. Tu bowiem zlokalizowane są instytucje i organizacje będące w głównej mierze wyznacznikiem tej jakości, m. in. usługi w zakresie ochrony zdrowia świadczy głównie szpital w Brodnicy (całe poradnictwo specjalistyczne). W mieście tym zlokalizowana jest także większość szkół ponadgimnazjalnych </w:t>
      </w:r>
      <w:r>
        <w:rPr>
          <w:rFonts w:ascii="Garamond" w:hAnsi="Garamond"/>
        </w:rPr>
        <w:t>P</w:t>
      </w:r>
      <w:r w:rsidRPr="001534A8">
        <w:rPr>
          <w:rFonts w:ascii="Garamond" w:hAnsi="Garamond"/>
        </w:rPr>
        <w:t>owiatu.</w:t>
      </w:r>
    </w:p>
    <w:p w:rsidR="00567C3E" w:rsidRPr="001534A8" w:rsidRDefault="00567C3E" w:rsidP="00567C3E">
      <w:pPr>
        <w:spacing w:after="120"/>
        <w:ind w:firstLine="708"/>
        <w:jc w:val="both"/>
        <w:rPr>
          <w:rFonts w:ascii="Garamond" w:hAnsi="Garamond"/>
        </w:rPr>
      </w:pPr>
      <w:r w:rsidRPr="001534A8">
        <w:rPr>
          <w:rFonts w:ascii="Garamond" w:hAnsi="Garamond"/>
        </w:rPr>
        <w:t xml:space="preserve">Homogeniczność całego </w:t>
      </w:r>
      <w:r>
        <w:rPr>
          <w:rFonts w:ascii="Garamond" w:hAnsi="Garamond"/>
        </w:rPr>
        <w:t>P</w:t>
      </w:r>
      <w:r w:rsidRPr="001534A8">
        <w:rPr>
          <w:rFonts w:ascii="Garamond" w:hAnsi="Garamond"/>
        </w:rPr>
        <w:t xml:space="preserve">owiatu wyraża się natomiast w takich aspektach jak pomoc społeczna, edukacja przedszkolna, podstawowa i gimnazjalna oraz infrastruktura. W tych obszarach nie widać znaczących dysproporcji wpływających na poprawę lub obniżenie jakości życia mieszkańców. Wszystkie gminy oferują podobne formy aktywacji osób wykluczonych społecznie bądź zagrożonych takim wykluczeniem, podobnie przedstawia się sytuacja odnośnie rozwoju usług opiekuńczych. W całym powiecie można zaobserwować zjawisko starzenia się społeczeństwa, będące odzwierciedleniem trendu ogólnokrajowego. Wszędzie więc w równym stopniu należy skupić się nad rozbudową oferty usług dedykowanych osobom starszym. Niespełna 65% dzieci w wieku 3-6 lat jest objętych edukacją przedszkolną. Między innymi w związku z tym istnieje potrzeba tworzenia nowych przedszkoli bądź rozbudowania istniejących. Ponadto placówki te wymagają doposażenia. Natomiast nie ma potrzeby tworzenia w żadnej z gmin nowych szkół – wymagają  one jedynie wyposażenia w nowoczesny sprzęt oraz rozbudowy oferty zajęć zwiększających kompetencje kluczowe uczniów oraz kwalifikacje nauczycieli. </w:t>
      </w:r>
    </w:p>
    <w:p w:rsidR="00567C3E" w:rsidRPr="001534A8" w:rsidRDefault="00567C3E" w:rsidP="00567C3E">
      <w:pPr>
        <w:spacing w:after="120"/>
        <w:ind w:firstLine="708"/>
        <w:jc w:val="both"/>
        <w:rPr>
          <w:rFonts w:ascii="Garamond" w:hAnsi="Garamond"/>
        </w:rPr>
      </w:pPr>
      <w:r w:rsidRPr="001534A8">
        <w:rPr>
          <w:rFonts w:ascii="Garamond" w:hAnsi="Garamond"/>
        </w:rPr>
        <w:t xml:space="preserve">Wszystkie gminy w podobnym stopniu borykają się z problemami niedostatków w infrastrukturze technicznej. Jednym z głównych problemów są drogi, które wymagają modernizacji ze względu na swój zły stan. Zidentyfikowano także potrzeby w zakresie rozwoju i uporządkowania gospodarki wodno-ściekowej oraz usprawnienia systemu selektywnej zbiórki odpadów. Ponadto w powiecie występuje bardzo </w:t>
      </w:r>
      <w:r w:rsidRPr="001534A8">
        <w:rPr>
          <w:rFonts w:ascii="Garamond" w:hAnsi="Garamond"/>
        </w:rPr>
        <w:lastRenderedPageBreak/>
        <w:t xml:space="preserve">niski stopień gazyfikacji. Gminy zgłaszają także zapotrzebowanie w zakresie realizacji projektów poprawiających efektywność energetyczną budynków, budowy ścieżek rowerowych czy wymiany oświetlenia ulicznego na energooszczędne. Modernizacji wymaga tabor komunikacji miejskiej w Brodnicy. Problemem zdiagnozowanym w powiecie brodnickim jest także brak powszechnego dostępu do szerokopasmowego Internetu. </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poniższej tabeli przedstawiono najważniejsze problemy zdiagnozowane na ORSG Powiatu Brodnickiego. </w:t>
      </w:r>
    </w:p>
    <w:p w:rsidR="00567C3E" w:rsidRPr="001534A8" w:rsidRDefault="00567C3E" w:rsidP="00567C3E">
      <w:pPr>
        <w:pStyle w:val="T"/>
        <w:spacing w:after="40"/>
      </w:pPr>
      <w:bookmarkStart w:id="88" w:name="_Toc430872021"/>
      <w:r w:rsidRPr="001534A8">
        <w:t>Tabela 3</w:t>
      </w:r>
      <w:r>
        <w:t>9</w:t>
      </w:r>
      <w:r w:rsidRPr="001534A8">
        <w:t>. Problemy zdiagnozowane na ORSG Powiatu Brodnickiego</w:t>
      </w:r>
      <w:bookmarkEnd w:id="88"/>
    </w:p>
    <w:tbl>
      <w:tblPr>
        <w:tblStyle w:val="Tabela-Siatka"/>
        <w:tblW w:w="950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40"/>
        <w:gridCol w:w="6454"/>
      </w:tblGrid>
      <w:tr w:rsidR="00567C3E" w:rsidRPr="001534A8" w:rsidTr="00D32FA7">
        <w:trPr>
          <w:jc w:val="center"/>
        </w:trPr>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4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 główny</w:t>
            </w:r>
          </w:p>
        </w:tc>
        <w:tc>
          <w:tcPr>
            <w:tcW w:w="6454" w:type="dxa"/>
            <w:tcBorders>
              <w:left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Problemy szczegółowe</w:t>
            </w:r>
          </w:p>
        </w:tc>
      </w:tr>
      <w:tr w:rsidR="00567C3E" w:rsidRPr="001534A8" w:rsidTr="00D32FA7">
        <w:trPr>
          <w:trHeight w:val="49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Niewystarczający stopień innowacyjności i konkurencyjności gospodarki </w:t>
            </w: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Niedostateczny poziom innowacyjności i konkurencyjności przedsiębiorstw</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6"/>
              </w:numPr>
              <w:spacing w:before="20" w:after="20" w:line="276" w:lineRule="auto"/>
              <w:ind w:left="357" w:hanging="357"/>
              <w:rPr>
                <w:rFonts w:ascii="Garamond" w:hAnsi="Garamond"/>
                <w:sz w:val="20"/>
                <w:szCs w:val="20"/>
              </w:rPr>
            </w:pPr>
            <w:r w:rsidRPr="001534A8">
              <w:rPr>
                <w:rFonts w:ascii="Garamond" w:hAnsi="Garamond"/>
                <w:sz w:val="20"/>
                <w:szCs w:val="20"/>
              </w:rPr>
              <w:t xml:space="preserve">Niewystarczająca współpraca firm z sektorem otoczenia biznesu oraz zbyt mała liczba instytucji wspierania biznesu </w:t>
            </w:r>
          </w:p>
        </w:tc>
      </w:tr>
      <w:tr w:rsidR="00567C3E" w:rsidRPr="001534A8" w:rsidTr="00D32FA7">
        <w:trPr>
          <w:trHeight w:val="338"/>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Niepełne dopasowanie oferty edukacyjnej do potrzeb rynku pracy</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2.1. Obniżony stopień upowszechniania edukacji przedszkolnej, niedostosowanie techniczne obiektów przedszkolnych oraz braki w ich wyposażeniu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2.2. Niedostateczne wyposażenie placówek kształcenia zawodowego w sprzęt dydaktyczny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S2"/>
              <w:spacing w:before="20" w:after="20"/>
              <w:ind w:left="317" w:hanging="317"/>
              <w:rPr>
                <w:b w:val="0"/>
                <w:color w:val="auto"/>
                <w:sz w:val="20"/>
                <w:szCs w:val="20"/>
              </w:rPr>
            </w:pPr>
            <w:r w:rsidRPr="001534A8">
              <w:rPr>
                <w:b w:val="0"/>
                <w:color w:val="auto"/>
                <w:sz w:val="20"/>
                <w:szCs w:val="20"/>
              </w:rPr>
              <w:t xml:space="preserve">2.3. Niewystarczająca oferta zajęć pozalekcyjnych dla uczniów oraz kursów i szkoleń podnoszących kwalifikacje nauczycieli w zakresie rozwijania kompetencji kluczowych </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2.4. Niedostatecznie rozwinięte doradztwo edukacyjno-zawodowe</w:t>
            </w:r>
          </w:p>
        </w:tc>
      </w:tr>
      <w:tr w:rsidR="00567C3E" w:rsidRPr="001534A8" w:rsidTr="00D32FA7">
        <w:trPr>
          <w:trHeight w:val="338"/>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2.5. Niewystarczający stopień dopasowania szkolnictwa zawodowego do potrzeb rynku pracy</w:t>
            </w:r>
          </w:p>
        </w:tc>
      </w:tr>
      <w:tr w:rsidR="00567C3E" w:rsidRPr="001534A8" w:rsidTr="00D32FA7">
        <w:trPr>
          <w:trHeight w:val="338"/>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2.6. Zbyt mała oferta staży i praktyk zawodowych   </w:t>
            </w:r>
          </w:p>
        </w:tc>
      </w:tr>
      <w:tr w:rsidR="00567C3E" w:rsidRPr="001534A8" w:rsidTr="00D32FA7">
        <w:trPr>
          <w:trHeight w:val="112"/>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20" w:after="20"/>
              <w:rPr>
                <w:rFonts w:ascii="Garamond" w:hAnsi="Garamond"/>
                <w:b/>
                <w:color w:val="FFFFFF" w:themeColor="background1"/>
                <w:sz w:val="20"/>
                <w:szCs w:val="20"/>
              </w:rPr>
            </w:pP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 xml:space="preserve">Niedostatecznie dostosowany do potrzeb system opieki społecznej i zdrowotnej  </w:t>
            </w: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3.1. Utrudniony dostęp do specjalistycznej opieki zdrowotnej, szczególnie dla osób starszych i niepełnosprawnych  </w:t>
            </w:r>
          </w:p>
        </w:tc>
      </w:tr>
      <w:tr w:rsidR="00567C3E" w:rsidRPr="001534A8" w:rsidTr="00D32FA7">
        <w:trPr>
          <w:trHeight w:val="289"/>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3.2. Zbyt mała świadomość mieszkańców w zakresie chorób i profilaktyki zdrowia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rPr>
                <w:rFonts w:ascii="Garamond" w:hAnsi="Garamond"/>
                <w:sz w:val="20"/>
                <w:szCs w:val="20"/>
              </w:rPr>
            </w:pPr>
            <w:r w:rsidRPr="001534A8">
              <w:rPr>
                <w:rFonts w:ascii="Garamond" w:hAnsi="Garamond"/>
                <w:sz w:val="20"/>
                <w:szCs w:val="20"/>
              </w:rPr>
              <w:t xml:space="preserve">3.3. Wysoki odsetek osób korzystających ze wsparcia opieki społecznej </w:t>
            </w:r>
          </w:p>
        </w:tc>
      </w:tr>
      <w:tr w:rsidR="00567C3E" w:rsidRPr="001534A8" w:rsidTr="00D32FA7">
        <w:trPr>
          <w:trHeight w:val="327"/>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spacing w:before="20" w:after="20"/>
              <w:ind w:left="317" w:hanging="317"/>
              <w:rPr>
                <w:rFonts w:ascii="Garamond" w:hAnsi="Garamond"/>
                <w:sz w:val="20"/>
                <w:szCs w:val="20"/>
              </w:rPr>
            </w:pPr>
            <w:r w:rsidRPr="001534A8">
              <w:rPr>
                <w:rFonts w:ascii="Garamond" w:hAnsi="Garamond"/>
                <w:sz w:val="20"/>
                <w:szCs w:val="20"/>
              </w:rPr>
              <w:t xml:space="preserve">3.4. Zbyt mała dostępność do usług opiekuńczych dla osób starszych i niepełnosprawnych </w:t>
            </w:r>
          </w:p>
        </w:tc>
      </w:tr>
      <w:tr w:rsidR="00567C3E" w:rsidRPr="001534A8" w:rsidTr="00D32FA7">
        <w:trPr>
          <w:trHeight w:val="210"/>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sz w:val="20"/>
                <w:szCs w:val="20"/>
              </w:rPr>
            </w:pPr>
            <w:r w:rsidRPr="001534A8">
              <w:rPr>
                <w:rFonts w:ascii="Garamond" w:hAnsi="Garamond"/>
                <w:sz w:val="20"/>
                <w:szCs w:val="20"/>
              </w:rPr>
              <w:t>Niewystarczająca ochrona dziedzictwa kulturowego i promocja walorów przyrodniczych</w:t>
            </w: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Zły stan techniczny części zabytków i obiektów kultury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Słabo rozwinięta oferta kulturalna </w:t>
            </w:r>
          </w:p>
        </w:tc>
      </w:tr>
      <w:tr w:rsidR="00567C3E" w:rsidRPr="001534A8" w:rsidTr="00D32FA7">
        <w:trPr>
          <w:trHeight w:val="210"/>
          <w:jc w:val="center"/>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7"/>
              </w:numPr>
              <w:spacing w:before="20" w:after="20" w:line="276" w:lineRule="auto"/>
              <w:rPr>
                <w:rFonts w:ascii="Garamond" w:hAnsi="Garamond"/>
                <w:sz w:val="20"/>
                <w:szCs w:val="20"/>
              </w:rPr>
            </w:pPr>
            <w:r w:rsidRPr="001534A8">
              <w:rPr>
                <w:rFonts w:ascii="Garamond" w:hAnsi="Garamond"/>
                <w:sz w:val="20"/>
                <w:szCs w:val="20"/>
              </w:rPr>
              <w:t xml:space="preserve">Niewielka liczba imprez i wydarzeń kulturalnych o znaczeniu krajowym i międzynarodowym </w:t>
            </w:r>
          </w:p>
        </w:tc>
      </w:tr>
      <w:tr w:rsidR="00567C3E" w:rsidRPr="001534A8" w:rsidTr="00D32FA7">
        <w:trPr>
          <w:trHeight w:val="210"/>
          <w:jc w:val="center"/>
        </w:trPr>
        <w:tc>
          <w:tcPr>
            <w:tcW w:w="612" w:type="dxa"/>
            <w:tcBorders>
              <w:bottom w:val="single" w:sz="4" w:space="0" w:color="FFFFFF" w:themeColor="background1"/>
            </w:tcBorders>
            <w:shd w:val="clear" w:color="auto" w:fill="824BB0"/>
            <w:vAlign w:val="center"/>
          </w:tcPr>
          <w:p w:rsidR="00567C3E" w:rsidRPr="001534A8" w:rsidRDefault="00567C3E" w:rsidP="00D32FA7">
            <w:pPr>
              <w:spacing w:before="20" w:after="20"/>
              <w:rPr>
                <w:rFonts w:ascii="Garamond" w:hAnsi="Garamond"/>
                <w:b/>
                <w:color w:val="FFFFFF" w:themeColor="background1"/>
                <w:sz w:val="20"/>
                <w:szCs w:val="20"/>
              </w:rPr>
            </w:pPr>
          </w:p>
        </w:tc>
        <w:tc>
          <w:tcPr>
            <w:tcW w:w="2440" w:type="dxa"/>
            <w:vMerge/>
            <w:shd w:val="clear" w:color="auto" w:fill="auto"/>
            <w:vAlign w:val="center"/>
          </w:tcPr>
          <w:p w:rsidR="00567C3E" w:rsidRPr="001534A8" w:rsidRDefault="00567C3E" w:rsidP="00D32FA7">
            <w:pPr>
              <w:spacing w:before="20" w:after="20"/>
              <w:jc w:val="center"/>
              <w:rPr>
                <w:rFonts w:ascii="Garamond" w:hAnsi="Garamond" w:cs="Arial"/>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7"/>
              </w:numPr>
              <w:spacing w:before="20" w:after="20"/>
              <w:rPr>
                <w:rFonts w:ascii="Garamond" w:hAnsi="Garamond"/>
                <w:sz w:val="20"/>
                <w:szCs w:val="20"/>
              </w:rPr>
            </w:pPr>
            <w:r w:rsidRPr="001534A8">
              <w:rPr>
                <w:rFonts w:ascii="Garamond" w:hAnsi="Garamond"/>
                <w:sz w:val="20"/>
              </w:rPr>
              <w:t>Niepełne wykorzystanie przyrodniczych i turystycznych walorów regionu</w:t>
            </w:r>
          </w:p>
        </w:tc>
      </w:tr>
      <w:tr w:rsidR="00567C3E" w:rsidRPr="001534A8" w:rsidTr="00D32FA7">
        <w:trPr>
          <w:trHeight w:val="286"/>
          <w:jc w:val="center"/>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20" w:after="2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40" w:type="dxa"/>
            <w:vMerge w:val="restart"/>
            <w:shd w:val="clear" w:color="auto" w:fill="auto"/>
            <w:vAlign w:val="center"/>
          </w:tcPr>
          <w:p w:rsidR="00567C3E" w:rsidRPr="001534A8" w:rsidRDefault="00567C3E" w:rsidP="00D32FA7">
            <w:pPr>
              <w:spacing w:before="20" w:after="20"/>
              <w:jc w:val="center"/>
              <w:rPr>
                <w:rFonts w:ascii="Garamond" w:hAnsi="Garamond"/>
                <w:color w:val="FF0000"/>
                <w:sz w:val="20"/>
                <w:szCs w:val="20"/>
              </w:rPr>
            </w:pPr>
            <w:r w:rsidRPr="001534A8">
              <w:rPr>
                <w:rFonts w:ascii="Garamond" w:hAnsi="Garamond"/>
                <w:sz w:val="20"/>
                <w:szCs w:val="20"/>
              </w:rPr>
              <w:t xml:space="preserve">Obniżony poziom infrastruktury technicznej </w:t>
            </w: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Niedostatecznie rozwinięta gospodarka wodno-ściekowa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Niewystarczający stopień organizacji selektywnej zbiórki odpadów</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Zbyt niska gęstość sieci drogowej oraz zły stan techniczny dróg</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Bardzo niski poziom gazyfikacji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 xml:space="preserve">Niska efektywność energetyczna budynków użyteczności publicznej i wielorodzinnych oraz niewielkie wykorzystania odnawialnych źródeł energii </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Wysoka energochłonność oświetlenia ulicznego</w:t>
            </w:r>
          </w:p>
        </w:tc>
      </w:tr>
      <w:tr w:rsidR="00567C3E" w:rsidRPr="001534A8" w:rsidTr="00D32FA7">
        <w:trPr>
          <w:trHeight w:val="210"/>
          <w:jc w:val="center"/>
        </w:trPr>
        <w:tc>
          <w:tcPr>
            <w:tcW w:w="612" w:type="dxa"/>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D32FA7">
            <w:pPr>
              <w:pStyle w:val="Akapitzlist"/>
              <w:numPr>
                <w:ilvl w:val="1"/>
                <w:numId w:val="28"/>
              </w:numPr>
              <w:spacing w:before="20" w:after="20" w:line="276" w:lineRule="auto"/>
              <w:rPr>
                <w:rFonts w:ascii="Garamond" w:hAnsi="Garamond"/>
                <w:sz w:val="20"/>
                <w:szCs w:val="20"/>
              </w:rPr>
            </w:pPr>
            <w:r w:rsidRPr="001534A8">
              <w:rPr>
                <w:rFonts w:ascii="Garamond" w:hAnsi="Garamond"/>
                <w:sz w:val="20"/>
                <w:szCs w:val="20"/>
              </w:rPr>
              <w:t>Niewystarczająca ilość ścieżek rowerowych i chodników</w:t>
            </w:r>
          </w:p>
        </w:tc>
      </w:tr>
      <w:tr w:rsidR="00567C3E" w:rsidRPr="001534A8" w:rsidTr="00D32FA7">
        <w:trPr>
          <w:trHeight w:val="210"/>
          <w:jc w:val="center"/>
        </w:trPr>
        <w:tc>
          <w:tcPr>
            <w:tcW w:w="612" w:type="dxa"/>
            <w:vMerge w:val="restart"/>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Zły stan techniczny taboru komunikacji miejskiej oraz niedostatecznie rozwinięta polityka parkingowa </w:t>
            </w:r>
          </w:p>
        </w:tc>
      </w:tr>
      <w:tr w:rsidR="00567C3E" w:rsidRPr="001534A8" w:rsidTr="00D32FA7">
        <w:trPr>
          <w:trHeight w:val="210"/>
          <w:jc w:val="center"/>
        </w:trPr>
        <w:tc>
          <w:tcPr>
            <w:tcW w:w="612" w:type="dxa"/>
            <w:vMerge/>
            <w:shd w:val="clear" w:color="auto" w:fill="824BB0"/>
            <w:vAlign w:val="center"/>
          </w:tcPr>
          <w:p w:rsidR="00567C3E" w:rsidRPr="001534A8" w:rsidRDefault="00567C3E" w:rsidP="00D32FA7">
            <w:pPr>
              <w:spacing w:before="20" w:after="20"/>
              <w:jc w:val="center"/>
              <w:rPr>
                <w:rFonts w:ascii="Garamond" w:hAnsi="Garamond"/>
                <w:color w:val="FF0000"/>
                <w:sz w:val="20"/>
                <w:szCs w:val="20"/>
              </w:rPr>
            </w:pPr>
          </w:p>
        </w:tc>
        <w:tc>
          <w:tcPr>
            <w:tcW w:w="2440" w:type="dxa"/>
            <w:vMerge/>
            <w:shd w:val="clear" w:color="auto" w:fill="auto"/>
            <w:vAlign w:val="center"/>
          </w:tcPr>
          <w:p w:rsidR="00567C3E" w:rsidRPr="001534A8" w:rsidRDefault="00567C3E" w:rsidP="00D32FA7">
            <w:pPr>
              <w:spacing w:before="20" w:after="20"/>
              <w:rPr>
                <w:rFonts w:ascii="Garamond" w:hAnsi="Garamond"/>
                <w:color w:val="FF0000"/>
                <w:sz w:val="20"/>
                <w:szCs w:val="20"/>
              </w:rPr>
            </w:pPr>
          </w:p>
        </w:tc>
        <w:tc>
          <w:tcPr>
            <w:tcW w:w="6454" w:type="dxa"/>
            <w:shd w:val="clear" w:color="auto" w:fill="auto"/>
            <w:vAlign w:val="center"/>
          </w:tcPr>
          <w:p w:rsidR="00567C3E" w:rsidRPr="001534A8" w:rsidRDefault="00567C3E" w:rsidP="00567C3E">
            <w:pPr>
              <w:pStyle w:val="Akapitzlist"/>
              <w:numPr>
                <w:ilvl w:val="1"/>
                <w:numId w:val="28"/>
              </w:numPr>
              <w:spacing w:before="20" w:after="20"/>
              <w:rPr>
                <w:rFonts w:ascii="Garamond" w:hAnsi="Garamond"/>
                <w:sz w:val="20"/>
                <w:szCs w:val="20"/>
              </w:rPr>
            </w:pPr>
            <w:r w:rsidRPr="001534A8">
              <w:rPr>
                <w:rFonts w:ascii="Garamond" w:hAnsi="Garamond"/>
                <w:sz w:val="20"/>
                <w:szCs w:val="20"/>
              </w:rPr>
              <w:t xml:space="preserve">Brak powszechnego dostępu do szerokopasmowego Internetu </w:t>
            </w:r>
          </w:p>
        </w:tc>
      </w:tr>
    </w:tbl>
    <w:p w:rsidR="00567C3E" w:rsidRPr="001534A8" w:rsidRDefault="00567C3E" w:rsidP="00567C3E">
      <w:pPr>
        <w:spacing w:before="120"/>
        <w:rPr>
          <w:rFonts w:ascii="Garamond" w:hAnsi="Garamond"/>
          <w:b/>
          <w:color w:val="4F2D7F"/>
          <w:sz w:val="4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rPr>
          <w:szCs w:val="40"/>
        </w:rPr>
      </w:pPr>
      <w:bookmarkStart w:id="89" w:name="_Toc419705526"/>
      <w:r w:rsidRPr="001534A8">
        <w:lastRenderedPageBreak/>
        <w:t>Terytorialny wymiar wsparcia</w:t>
      </w:r>
      <w:bookmarkEnd w:id="89"/>
    </w:p>
    <w:p w:rsidR="00567C3E" w:rsidRPr="001534A8" w:rsidRDefault="00567C3E" w:rsidP="00567C3E">
      <w:pPr>
        <w:spacing w:after="120"/>
        <w:ind w:firstLine="709"/>
        <w:jc w:val="both"/>
        <w:rPr>
          <w:rFonts w:ascii="Garamond" w:hAnsi="Garamond"/>
        </w:rPr>
      </w:pPr>
      <w:r w:rsidRPr="001534A8">
        <w:rPr>
          <w:rFonts w:ascii="Garamond" w:hAnsi="Garamond"/>
        </w:rPr>
        <w:t>Jednym z najważniejszych założeń Polityki Spójności na lata 2014-2020, oprócz wymiaru społeczno-gospodarczego, jest szerokie uwzględnienie w jej ramach wymiaru terytorialnego, który weźmie pod uwagę potencjały i bariery poszczególnych terytoriów oraz ich wzajemne zależności. Celem takiego podejścia jest wykorzystanie endogenicznych czynników rozwoju obszarów, a także wykreowanie nowych form współpracy pomiędzy JST. Tak rozumiany wymiar terytorialny będzie wspierany w ramach RPO WK-P jako jeden z podstawowych instrumentów realizacji polityki terytorialnej regionu. Podejście terytorialne umożliwi realizację poszczególnych priorytetów inwestycyjnych w sposób najlepiej odpowiadający potrzebom poszczególnych ORSG</w:t>
      </w:r>
      <w:r w:rsidRPr="001534A8">
        <w:rPr>
          <w:rStyle w:val="Odwoanieprzypisudolnego"/>
          <w:rFonts w:ascii="Garamond" w:hAnsi="Garamond"/>
        </w:rPr>
        <w:footnoteReference w:id="26"/>
      </w:r>
      <w:r w:rsidRPr="001534A8">
        <w:rPr>
          <w:rFonts w:ascii="Garamond" w:hAnsi="Garamond"/>
        </w:rPr>
        <w:t>.</w:t>
      </w:r>
    </w:p>
    <w:p w:rsidR="00567C3E" w:rsidRPr="001534A8" w:rsidRDefault="00567C3E" w:rsidP="00567C3E">
      <w:pPr>
        <w:spacing w:after="120"/>
        <w:ind w:firstLine="708"/>
        <w:jc w:val="both"/>
        <w:rPr>
          <w:rFonts w:ascii="Garamond" w:hAnsi="Garamond"/>
        </w:rPr>
      </w:pPr>
      <w:r w:rsidRPr="001534A8">
        <w:rPr>
          <w:rFonts w:ascii="Garamond" w:hAnsi="Garamond"/>
        </w:rPr>
        <w:t>Wsparcie ORSG w wymiarze terytorialnym będzie wyrażało się w koncentracji działań o charakterze prorozwojowym, wspieranych dostępnymi instrumentami finansowymi lub organizacyjnymi. Ponadto wsparcie to będzie polegało na wzmacnianiu powiązań funkcjonalnych w ramach powiatu i  zostanie skierowane w szczególności na obszary związane ze środowiskiem, edukacją oraz włączeniem społecznym i przeciwdziałaniem ubóstwu.</w:t>
      </w:r>
    </w:p>
    <w:p w:rsidR="00567C3E" w:rsidRPr="001534A8" w:rsidRDefault="00567C3E" w:rsidP="00567C3E">
      <w:pPr>
        <w:spacing w:after="120"/>
        <w:ind w:firstLine="708"/>
        <w:jc w:val="both"/>
        <w:rPr>
          <w:rFonts w:ascii="Garamond" w:hAnsi="Garamond"/>
        </w:rPr>
      </w:pPr>
      <w:r w:rsidRPr="001534A8">
        <w:rPr>
          <w:rFonts w:ascii="Garamond" w:hAnsi="Garamond"/>
        </w:rPr>
        <w:t xml:space="preserve">W poniższym zestawieniu tabelarycznym zawarto główne problemy rozwojowe, uwarunkowania i potencjały ORSG Powiatu Brodnickiego w odniesieniu do poszczególnych priorytetów inwestycyjnych przewidujących zintegrowane podejście do rozwoju terytorialnego oraz założenie skoncentrowania działań zmierzających do wzmocnienia i wykorzystania wewnętrznych potencjałów rozwojowych. </w:t>
      </w:r>
    </w:p>
    <w:p w:rsidR="00567C3E" w:rsidRPr="001534A8" w:rsidRDefault="00567C3E" w:rsidP="00567C3E">
      <w:pPr>
        <w:pStyle w:val="T"/>
      </w:pPr>
      <w:bookmarkStart w:id="90" w:name="_Toc430872022"/>
      <w:r w:rsidRPr="001534A8">
        <w:t xml:space="preserve">Tabela </w:t>
      </w:r>
      <w:r>
        <w:t>40</w:t>
      </w:r>
      <w:r w:rsidRPr="001534A8">
        <w:t>. Terytorialny wymiar wsparcia</w:t>
      </w:r>
      <w:bookmarkEnd w:id="90"/>
      <w:r w:rsidRPr="001534A8">
        <w:t xml:space="preserve"> </w:t>
      </w:r>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3"/>
        <w:gridCol w:w="1962"/>
        <w:gridCol w:w="5137"/>
      </w:tblGrid>
      <w:tr w:rsidR="00567C3E" w:rsidRPr="001534A8" w:rsidTr="00D32FA7">
        <w:tc>
          <w:tcPr>
            <w:tcW w:w="1973" w:type="dxa"/>
            <w:tcBorders>
              <w:top w:val="nil"/>
              <w:left w:val="single" w:sz="4" w:space="0" w:color="824BB0"/>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w:t>
            </w:r>
          </w:p>
        </w:tc>
        <w:tc>
          <w:tcPr>
            <w:tcW w:w="1962" w:type="dxa"/>
            <w:tcBorders>
              <w:top w:val="nil"/>
              <w:left w:val="single" w:sz="4" w:space="0" w:color="FFFFFF" w:themeColor="background1"/>
              <w:bottom w:val="single" w:sz="4" w:space="0" w:color="824BB0"/>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szczegółowy</w:t>
            </w:r>
          </w:p>
        </w:tc>
        <w:tc>
          <w:tcPr>
            <w:tcW w:w="5137" w:type="dxa"/>
            <w:tcBorders>
              <w:top w:val="nil"/>
              <w:left w:val="single" w:sz="4" w:space="0" w:color="FFFFFF" w:themeColor="background1"/>
              <w:bottom w:val="single" w:sz="4" w:space="0" w:color="824BB0"/>
              <w:right w:val="nil"/>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Terytorialny wymiar wsparcia</w:t>
            </w:r>
          </w:p>
        </w:tc>
      </w:tr>
      <w:tr w:rsidR="00567C3E" w:rsidRPr="001534A8" w:rsidTr="00D32FA7">
        <w:tc>
          <w:tcPr>
            <w:tcW w:w="1973" w:type="dxa"/>
            <w:tcBorders>
              <w:top w:val="single" w:sz="4" w:space="0" w:color="824BB0"/>
            </w:tcBorders>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4c</w:t>
            </w:r>
            <w:r w:rsidRPr="001534A8">
              <w:rPr>
                <w:rFonts w:ascii="Garamond" w:hAnsi="Garamond"/>
                <w:sz w:val="20"/>
                <w:szCs w:val="20"/>
              </w:rPr>
              <w:t xml:space="preserve"> Wspieranie efektywności energetycznej,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inteligentnego zarządzania energią i wykorzystywania odnawialnych źródeł energii w budynkach publicznych, i w sektorze mieszkaniowym</w:t>
            </w:r>
          </w:p>
        </w:tc>
        <w:tc>
          <w:tcPr>
            <w:tcW w:w="1962"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Zwiększona efektywność energetyczna budynków użyteczności publicznej</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wielorodzinnych budynków mieszkaniowych</w:t>
            </w:r>
          </w:p>
        </w:tc>
        <w:tc>
          <w:tcPr>
            <w:tcW w:w="5137" w:type="dxa"/>
            <w:tcBorders>
              <w:top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jednym ze zdiagnozowanych problemów jest niedostatecznie rozwinięta infrastruktura techniczna, przejawiająca się m. in. niską efektywnością energetyczną budynków użyteczności publicznej i budynków wielorodzinnych.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Mimo wielu inwestycji, które poczyniono w ostatnich latach (także przy wsparciu funduszy zewnętrznych) w budynkach użyteczności publicznej, nadal znaczna ich część wymaga modernizacji. Jeżeli chodzi o budynki wielorodzinne to w ostatnim czasie nie przeprowadzono większych inwestycji w zakresie modernizacji energetycznej, w związku z tym znaczna ich liczba wymaga przeprowadzenia tego typu działań. Dotyczy to przede wszystkim miast znajdujących się na ORSG. Ponadto, w budynkach w niewielkim stopniu wykorzystuje się odnawialne źródła energii.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najważniejszych obiektów, które zostały poddane modernizacji energetycznej, jak i tych które najbardziej jej wymagają zawarte są w załączniku nr 15 do niniejszej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4e</w:t>
            </w:r>
            <w:r w:rsidRPr="001534A8">
              <w:rPr>
                <w:rFonts w:ascii="Garamond" w:hAnsi="Garamond"/>
                <w:sz w:val="20"/>
                <w:szCs w:val="20"/>
              </w:rPr>
              <w:t xml:space="preserve"> Promowanie strategii niskoemisyjnych dla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wszystkich rodzajów terytoriów, w szczególności dla obszarów miejskich, w tym wspieranie </w:t>
            </w:r>
            <w:r w:rsidRPr="001534A8">
              <w:rPr>
                <w:rFonts w:ascii="Garamond" w:hAnsi="Garamond"/>
                <w:sz w:val="20"/>
                <w:szCs w:val="20"/>
              </w:rPr>
              <w:lastRenderedPageBreak/>
              <w:t>zrównoważonej multimodalnej mobilności miejskiej i działań adaptacyjnych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mających oddziaływanie łagodzące na zmiany klimatu</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Zwiększone wykorzystanie transportu publicznego w miastach i ich obszarach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funkcjonalnych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Promowanie strategii niskoemisyjnych przejawiać się ma przede wszystkim poprzez rozwój infrastruktury transportu zbiorowego, działania mające na celu </w:t>
            </w:r>
            <w:proofErr w:type="spellStart"/>
            <w:r w:rsidRPr="001534A8">
              <w:rPr>
                <w:rFonts w:ascii="Garamond" w:hAnsi="Garamond"/>
                <w:sz w:val="20"/>
                <w:szCs w:val="20"/>
              </w:rPr>
              <w:t>priorytetyzację</w:t>
            </w:r>
            <w:proofErr w:type="spellEnd"/>
            <w:r w:rsidRPr="001534A8">
              <w:rPr>
                <w:rFonts w:ascii="Garamond" w:hAnsi="Garamond"/>
                <w:sz w:val="20"/>
                <w:szCs w:val="20"/>
              </w:rPr>
              <w:t xml:space="preserve"> ruchu pieszego i rowerowego oraz ograniczenie ruchu samochodowego, a także inwestycje w energooszczędne oświetlenie uliczne.</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Na terenie ORSG Powiatu Brodnickiego swoje usługi w zakresie transportu publicznego świadczy Kujawsko-Pomorski </w:t>
            </w:r>
            <w:r w:rsidRPr="001534A8">
              <w:rPr>
                <w:rFonts w:ascii="Garamond" w:hAnsi="Garamond"/>
                <w:sz w:val="20"/>
                <w:szCs w:val="20"/>
              </w:rPr>
              <w:lastRenderedPageBreak/>
              <w:t xml:space="preserve">Transport Samochodowy w S. A. O/Brodnica.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zakresie transportu miejskiego na terenie Brodnicy kursuje 5 linii autobusowych komunikacji dziennej obsługiwanej przez Przedsiębiorstwo Gospodarki Komunalnej.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powiecie obserwuje się dość mocno nasilony ruch samochodowy, co wpływa negatywnie na stan środowiska naturalnego, a także na bezpieczeństwo mieszkańców. Poza tym dużym problemem obszaru jest zły stan techniczny sieci dróg lokalnych. Dlatego też zarówno dla poprawy bezpieczeństwa, jak i stanu środowiska, niezmiernie ważne jest podejmowanie działań polegających na budowie nowych ciągów pieszo – rowerowych. Mają one przede wszystkim za zadanie usprawnienie komunikacji pomiędzy gminami i poprawę bezpieczeństwa rowerzystów. Jednakże ich długość nie zaspokaja potrzeb społeczności lokalnej. W związku z tym, budowa kolejnych odcinków ścieżek powinna być jednym z priorytetowych zadań inwestycyjnych obszaru.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Potrzeby w zakresie budowy ścieżek rowerowych zdiagnozowane dla poszczególnych gmin znajdują się w załączniku nr 12 do Strategii.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ORSG dostrzega się także potrzebę realizacji inwestycji w zakresie rozwoju energooszczędnego oświetlenia ulicznego. Wpłynęłoby to nie tylko na poprawę stanu środowiska naturalnego, ale także znacznie zmniejszyłoby opłaty za energię.</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Modernizacji wymaga tabor komunikacji miejskiej w Brodnicy. W mieście brakuje także systemu efektywnego zarządzania parkingami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6b</w:t>
            </w:r>
            <w:r w:rsidRPr="001534A8">
              <w:rPr>
                <w:rFonts w:ascii="Garamond" w:hAnsi="Garamond"/>
                <w:sz w:val="20"/>
                <w:szCs w:val="20"/>
              </w:rPr>
              <w:t xml:space="preserve"> Inwestowanie w sektor gospodarki wodnej celem wypełnienia zobowiązań</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określonych w dorobku prawnym Unii w zakresie środowiska oraz zaspokojenia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wykraczających poza te zobowiązania potrzeb inwestycyjnych, określonych przez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państwa członkowskie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Zwiększony odsetek ludności korzystającej z systemu oczyszczania ścieków</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zgodnego z dyrektywą dotyczącą ścieków komunalnych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Stopień zwodociągowania terenu ORSG Powiatu Brodnickiego wynosi 87,2% i jest zbliżony do średniej województwa kujawsko – pomorskiego i kraju. Dlatego też inwestycje dotyczące infrastruktury wodociągowej w najbliższych latach najprawdopodobniej sprowadzać się będą do bieżących napraw i konserwacji. Znacznie gorzej sytuacja przedstawia się w odniesieniu do gospodarki ściekowej. Stopień skanalizowana obszaru wynosi bowiem jedynie 56,5%. Właściwie wszystkie samorządy widzą konieczność budowy zarówno sieci kanalizacyjnej, jak i przydomowych oczyszczalni ścieków. </w:t>
            </w:r>
          </w:p>
          <w:p w:rsidR="00567C3E" w:rsidRPr="001534A8" w:rsidRDefault="00567C3E" w:rsidP="00D32FA7">
            <w:pPr>
              <w:spacing w:before="40" w:after="40"/>
              <w:jc w:val="both"/>
              <w:rPr>
                <w:rFonts w:ascii="Garamond" w:hAnsi="Garamond"/>
                <w:strike/>
                <w:sz w:val="20"/>
                <w:szCs w:val="20"/>
              </w:rPr>
            </w:pPr>
            <w:r w:rsidRPr="001534A8">
              <w:rPr>
                <w:rFonts w:ascii="Garamond" w:hAnsi="Garamond"/>
                <w:sz w:val="20"/>
                <w:szCs w:val="20"/>
              </w:rPr>
              <w:t>Problemem większości gmin tworzących ORSG Powiatu Brodnickiego jest ograniczenie wynikające z zapisów RPO WK-P na lata 2014 – 2020 odnośnie wielkości aglomeracji – tylko aglomeracje od 2 do 10 tys. RLM mogą ubiegać się o środki unijne w ramach Programu.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Zgodnie z KPOŚK na terenie ORSG Powiatu Brodnickiego znajduje się jedna aglomeracja – Brodnica, w skład której wchodzą gminy: m. Brodnica, gm. Brodnica, gm. Zbiczno, gm. Bobrowo. W aglomeracji powyżej 10 tys. RLM, którą jest Brodnica, na podstawie linii demarkacyjnej projekty dotyczące gospodarki wodno-ściekowej mogą uzyskać wsparcie w ramach Programu Operacyjnego Infrastruktura i Środowisko, poziom krajowy, na podstawie listy potrzeb inwestycyjnych w oparciu o KPOŚK. Inwestycje z zakresu gospodarki wodno-ściekowej na terenach nie objętych aglomeracją będzie wspierał Program Rozwoju Obszarów Wiejskich na lata 2014-2020.</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Szczegółowe informacje na temat obecnego stanu gospodarki wodno- ściekowej oraz potrzeb inwestycyjnych samorządów w tym zakresie, zawiera załącznik nr 13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6c</w:t>
            </w:r>
            <w:r w:rsidRPr="001534A8">
              <w:rPr>
                <w:rFonts w:ascii="Garamond" w:hAnsi="Garamond"/>
                <w:sz w:val="20"/>
                <w:szCs w:val="20"/>
              </w:rPr>
              <w:t xml:space="preserve"> Zachowanie, ochrona, promowanie </w:t>
            </w:r>
            <w:r w:rsidRPr="001534A8">
              <w:rPr>
                <w:rFonts w:ascii="Garamond" w:hAnsi="Garamond"/>
                <w:sz w:val="20"/>
                <w:szCs w:val="20"/>
              </w:rPr>
              <w:lastRenderedPageBreak/>
              <w:t>i rozwój dziedzictwa naturalnego i kulturowego</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Zwiększona atrakcyjność obiektów </w:t>
            </w:r>
            <w:r w:rsidRPr="001534A8">
              <w:rPr>
                <w:rFonts w:ascii="Garamond" w:hAnsi="Garamond"/>
                <w:sz w:val="20"/>
                <w:szCs w:val="20"/>
              </w:rPr>
              <w:lastRenderedPageBreak/>
              <w:t>kultury regionu kujawsko-pomorskiego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Życie kulturalne mieszkańców ORSG skupia się przede wszystkim wokół gminnych ośrodków kultury, świetlic </w:t>
            </w:r>
            <w:r w:rsidRPr="001534A8">
              <w:rPr>
                <w:rFonts w:ascii="Garamond" w:hAnsi="Garamond"/>
                <w:sz w:val="20"/>
                <w:szCs w:val="20"/>
              </w:rPr>
              <w:lastRenderedPageBreak/>
              <w:t>wiejskich oraz gminnych bibliotek, które w głównej mierze są organizatorami imprez i wydarzeń kulturalnych. Większość tych wydarzeń ma charakter lokalny i sezonowy. Organizowane są również imprezy o randze krajowej i międzynarodowej, głównie w Brodnicy.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obszarze kultury największą barierą rozwojową są niewystarczające środki finansowe, które powinny być w większym stopniu przeznaczone na wsparcie zarówno instytucji kultury oraz zatrudnienie animatorów kultury. Ponadto renowacji wymaga część obiektów zabytkowych położonych na ORSG Powiatu Brodnickiego.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Informacje o stanie technicznym oraz potrzebach w zakresie odnowy infrastruktury instytucji kultury zawarte są w załączniku nr 9 do niniejszej Strategii, natomiast główne zabytki oraz potrzeby w zakresie ich zachowania, rozwoju, wsparcia i renowacji, scharakteryzowane zostały w tabeli nr 8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9b </w:t>
            </w:r>
            <w:r w:rsidRPr="001534A8">
              <w:rPr>
                <w:rFonts w:ascii="Garamond" w:hAnsi="Garamond"/>
                <w:sz w:val="20"/>
                <w:szCs w:val="20"/>
              </w:rPr>
              <w:t>Wspieranie rewitalizacji fizycznej, gospodarczej i społecznej ubogich społeczności na obszarach miejskich i wiejskich</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Wzrost ożywienia społecznego i gospodarczego na obszarach miejskich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obszarach powiązanych z nimi funkcjonalnie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Większość samorządów z terenu ORSG Powiatu Brodnickiego widzi konieczność prowadzenia działań rewitalizacyjnych. Mają one również świadomość, że rewitalizacja w pierwszej kolejności ma prowadzić do niwelowania negatywnych zjawisk natury społecznej i gospodarczej, a następnie środowiskowej i funkcjonalnej.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uwagi na fakt, iż zidentyfikowanie obszarów problemowych nastąpi w Lokalnych/Gminnych Programach Rewitalizacji na podstawie opracowywanych obecnie Wytycznych, które wskażą sposób wyznaczenia tych obszarów, aktualnie (w tabeli nr 23 Strategii) samorządy samodzielnie wskazały tereny, które powinny być potraktowane priorytetowo przy realizacji działań naprawczych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10a </w:t>
            </w:r>
            <w:r w:rsidRPr="001534A8">
              <w:rPr>
                <w:rFonts w:ascii="Garamond" w:hAnsi="Garamond"/>
                <w:sz w:val="20"/>
                <w:szCs w:val="20"/>
              </w:rPr>
              <w:t>Inwestowanie w kształcenie, szkolenie oraz szkolenie zawodowe na rzecz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zdobywania umiejętności i uczenia się przez całe życie poprzez rozwój</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infrastruktury edukacyjnej i szkoleniowej</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Lepsza jakość usług edukacyjnych w zakresie szkolnictwa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Lepszy dostęp do usług edukacyjnych w zakresie wychowania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przedszkolnego</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Brodnicki posiada duży potencjał zarówno w zakresie zwiększania jakości usług edukacyjnych w ramach szkolnictwa zawodowego, jak i wychowania przedszkolnego.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Potencjał rozwoju szkolnictwa zawodowego przejawia się przede wszystkim w wysokim stopniu znajomości potrzeb rynku pracy, a także w wysokim stopniu świadomości własnych ograniczeń. Aby prawidłowo dostosować ofertę kształcenia do potrzeb przyszłych pracodawców, konieczne jest zapewnienie wsparcia szkół zawodowych przede wszystkim w zakresie: stworzenia nowych pracowni dydaktycznych i doposażenia istniejących w wysokiej jakości sprzęt, zwiększenia liczby godzin zajęć praktycznych w szkołach, zwiększenia jakości staży i praktyk organizowanych w przedsiębiorstwach, a także przeszkolenia nauczycieli. Tego typu wsparcie nie tylko poprawi jakość usług edukacyjnych szkolnictwa zawodowego, ale docelowo będzie miało przełożenie na rozwój gospodarki regionu i zmniejszenie bezrobocia szczególnie w grupie ludzi młodych. Szczegółowe potrzeby w zakresie rozwoju kształcenia zawodowego na ORSG zawarte są w załączniku nr 7 do Strategii.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Powiat posiada także potencjał do upowszechniania edukacji przedszkolnej. W celu zwiększenia jakości usług świadczonych w tym zakresie, konieczna jest rozbudowa i doposażenie istniejących placówek. Ponadto należy podejmować działania w zakresie wsparcia pedagogów, ukierunkowane na podniesienie ich kompetencji i kwalifikacji. Szczegółowe potrzeby rozwoju edukacji przedszkolnej zawarte zostały w załączniku nr 4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8iv </w:t>
            </w:r>
            <w:r w:rsidRPr="001534A8">
              <w:rPr>
                <w:rFonts w:ascii="Garamond" w:hAnsi="Garamond"/>
                <w:sz w:val="20"/>
                <w:szCs w:val="20"/>
              </w:rPr>
              <w:t xml:space="preserve">Równość </w:t>
            </w:r>
            <w:r w:rsidRPr="001534A8">
              <w:rPr>
                <w:rFonts w:ascii="Garamond" w:hAnsi="Garamond"/>
                <w:sz w:val="20"/>
                <w:szCs w:val="20"/>
              </w:rPr>
              <w:lastRenderedPageBreak/>
              <w:t>mężczyzn i kobiet we wszystkich dziedzinach, w tym dostęp do zatrudnienia, rozwój kariery, godzenie życia zawodowego i prywatnego oraz promowanie równości wynagrodzeń za taką samą pracę</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 xml:space="preserve">Zwiększenie </w:t>
            </w:r>
            <w:r w:rsidRPr="001534A8">
              <w:rPr>
                <w:rFonts w:ascii="Garamond" w:hAnsi="Garamond"/>
                <w:sz w:val="20"/>
                <w:szCs w:val="20"/>
              </w:rPr>
              <w:lastRenderedPageBreak/>
              <w:t>zatrudnienia osób pełniących funkcje opiekuńcze nad dziećmi</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do lat 3</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dostępności miejsc świadczenia usług opieki nad dziećmi do lat 3</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Równość mężczyzn i kobiet we wszystkich dziedzinach w </w:t>
            </w:r>
            <w:r w:rsidRPr="001534A8">
              <w:rPr>
                <w:rFonts w:ascii="Garamond" w:hAnsi="Garamond"/>
                <w:sz w:val="20"/>
                <w:szCs w:val="20"/>
              </w:rPr>
              <w:lastRenderedPageBreak/>
              <w:t>przypadku Priorytetu Inwestycyjnego 8iv, przejawiać ma się głównie we wspieraniu aktywizacji osób powracających na rynek pracy po urlopach macierzyńskich / rodzicielskich / wychowawczych m. in poprzez tworzenie i funkcjonowanie podmiotów świadczących usługi opieki nad dziećmi do lat 3.</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całym ORSG mimo ponad 2 600 dzieci w wieku do 3 lat (dane na 2013 r.) funkcjonował jeden klub dziecięcy (w Brodnicy). Pomimo niewielkiej liczby miejsc opieki, w Powiecie nie zdiagnozowano znacznego zapotrzebowania na zwiększenie ich ilości. Mniejsze zainteresowanie mieszkańców obszarów wiejskich usługami żłobkowymi wynika zapewne z tego, że  rolniczy charakter wielu gospodarstw domowych pozwala na to, iż opiekę nad dzieckiem sprawują członkowie rodziny.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Na terenie ORSG nie prowadzono do tej pory działań aktywizacyjno-szkoleniowych dla osób powracających na rynek pracy po urlopach macierzyńskich/ rodzicielskich/ wychowawczych</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9i </w:t>
            </w:r>
            <w:r w:rsidRPr="001534A8">
              <w:rPr>
                <w:rFonts w:ascii="Garamond" w:hAnsi="Garamond"/>
                <w:sz w:val="20"/>
                <w:szCs w:val="20"/>
              </w:rPr>
              <w:t>Aktywne włączenie, w tym z myślą o promowaniu równych szans oraz aktywnego</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uczestnictwa i zwiększaniu szans na zatrudnienie</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Aktywna integracja osób zagrożonych ubóstwem lub wykluczeniem</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społecznym poprzez poprawę i wzmocnienie ich zdolności do zatrudnienia</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Ważnym problemem i barierą rozwojową Powiatu Brodnickiego jest dość duży odsetek osób korzystających z pomocy społecznej – 14% mieszkańców. Dlatego oprócz wsparcia finansowego należy kłaść nacisk na rozwój innych form wsparcia, które pozwolą lokalnej społeczności poprawić swoją sytuacje życiową.</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Wszystkie samorządy z terenu ORSG mają spore doświadczenie w realizacji działań ukierunkowanych na aktywizację społeczno-zawodową osób, rodzin i grup zagrożonych ubóstwem lub wykluczeniem społecznym. Tego typu działania w szczególnie dużym stopniu realizowane były ze wsparciem funduszy unijnych w latach 2007 – 2013. Główne formy aktywizacji proponowane w ramach projektów unijnych to szkolenia zawodowe, poradnictwo zawodowe i psychologiczne, kursy kompetencji społecznych czy spotkania integracyjne. Najważniejsze efekty realizacji powyższych działań to przede wszystkim znalezienie pracy przez część osób uczestniczących w projektach. Doświadczenie samorządów pokazuje jednakże też, że dość znaczny odsetek beneficjentów wsparcia w poprzednim okresie programowania, mimo wzięcia udziału w projektach, w żaden sposób nie poprawił swojej sytuacji życiowej. Dlatego też w obecnej perspektywie samorządy podkreślają, że działania w zakresie aktywizacji osób wykluczonych społecznie bądź zagrożonych wykluczeniem powinny być bardziej zindywidualizowane – szkolenia powinny być indywidualnie dobrane i realizowane pod potrzeby przyszłych pracodawców, ponadto należy organizować staże i prace społecznie użyteczne, a także rozwijać poradnictwo psychologiczne i prawne. Widoczna jest także potrzeba tworzenia podmiotów ekonomii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Dotychczasowe formy aktywizacji osób wykluczonych społecznie bądź zagrożonych wykluczeniem, jak i potrzeby w tym zakresie zostały szczegółowo scharakteryzowane w załączniku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t xml:space="preserve">9iv </w:t>
            </w:r>
            <w:r w:rsidRPr="001534A8">
              <w:rPr>
                <w:rFonts w:ascii="Garamond" w:hAnsi="Garamond"/>
                <w:sz w:val="20"/>
                <w:szCs w:val="20"/>
              </w:rPr>
              <w:t>Ułatwianie dostępu do przystępnych cenowo, trwałych oraz wysokiej jakości usług,</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 xml:space="preserve">w tym opieki zdrowotnej i usług socjalnych </w:t>
            </w:r>
            <w:r w:rsidRPr="001534A8">
              <w:rPr>
                <w:rFonts w:ascii="Garamond" w:hAnsi="Garamond"/>
                <w:sz w:val="20"/>
                <w:szCs w:val="20"/>
              </w:rPr>
              <w:lastRenderedPageBreak/>
              <w:t>świadczonych w interesie ogólnym</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lastRenderedPageBreak/>
              <w:t>Zwiększenie dostępności usług zdrowotnych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Zwiększenie dostępności usług społecznych w szczególności usług środowiskowych, </w:t>
            </w:r>
            <w:r w:rsidRPr="001534A8">
              <w:rPr>
                <w:rFonts w:ascii="Garamond" w:hAnsi="Garamond"/>
                <w:sz w:val="20"/>
                <w:szCs w:val="20"/>
              </w:rPr>
              <w:lastRenderedPageBreak/>
              <w:t>opiekuńczych oraz usług wsparcia rodziny i pieczy zastępczej dla osób zagrożonych ubóstwem lub wykluczeniem społecznym</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lastRenderedPageBreak/>
              <w:t xml:space="preserve">Usługi w zakresie wsparcia społecznego świadczą na terenie ORSG Powiatu Brodnickiego miejskie i gminne ośrodki pomocy społecznej. Opiekę nad osobami w podeszłym wieku, somatycznie chorymi wymagającymi całodobowej opieki realizują Dom Pomocy Społecznej w Brodnicy oraz prywatny Dom Pomocy Społecznej w Wichulcu. Na terenie ORSG funkcjonują także dwie spółdzielnie socjalne (w Brodnicy i w Górznie) oraz po jednym: domu pomocy społecznej, </w:t>
            </w:r>
            <w:r w:rsidRPr="001534A8">
              <w:rPr>
                <w:rFonts w:ascii="Garamond" w:hAnsi="Garamond"/>
                <w:sz w:val="20"/>
                <w:szCs w:val="20"/>
              </w:rPr>
              <w:lastRenderedPageBreak/>
              <w:t>środowiskowym domu samopomocy, warsztacie terapii zajęciowej i zakładzie aktywności zawodowej – wszystkie w Brodnicy. Najczęstszą formą opieki nad osobami starszymi i niepełnosprawnymi w gminach obszaru ORSG jest opieka środowiskowa, świadczona w miejscu zamieszkania osób tego potrzebujących. Nie jest ona jednak w pełni dostępna i realizowana w zgodnie z zapotrzebowaniem we wszystkich gminach obszaru.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Biorąc pod uwagę prognozy demograficzne, w których widoczne jest znaczne starzenie się społeczeństwa, rozwój usług opiekuńczych, szczególnie skierowanych do osób starszych, będzie w najbliższych latach jednym z głównych priorytetów, na których muszą skupić się działania władz lokalnych.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celu przeciwdziałania problemom wynikających z dezorganizacji rodziny oraz z wykluczenia społecznego i zagrożenia wykluczeniem społecznym gminy w perspektywie finansowej 2007-2013 prowadziły najczęściej działania w formie programów ograniczających i przeciwdziałających wykluczeniu społecznemu, wiele z nich realizowanych było ze wsparciem funduszy unijnych. Nie wszystkie jednak zapewniały dostęp do kompleksowego poradnictwa rodzinnego. Wskazane jest poszerzanie spektrum działań i realizacja projektów systemowych przeciwdziałających wykluczeniu społecznemu oraz większa dostępność specjalistycznego poradnictwa rodzinnego (w tym asystenta rodziny), w szczególności w lokalnych, gminnych ośrodkach pomocy społecznej.</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Formy świadczonych usług opiekuńczych i potrzeby w zakresie ich rozwoju stanowią załącznik nr 3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 </w:t>
            </w:r>
            <w:r w:rsidRPr="001534A8">
              <w:rPr>
                <w:rFonts w:ascii="Garamond" w:hAnsi="Garamond"/>
                <w:sz w:val="20"/>
                <w:szCs w:val="20"/>
              </w:rPr>
              <w:t>Ograniczenie i zapobieganie przedwczesnemu kończeniu nauki szkolnej oraz zapewnianie równego dostępu do dobrej jakości wczesnej edukacji elementarnej oraz kształcenia podstawowego, gimnazjalnego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i ponadgimnazjalnego, z uwzględnieniem formalnych, nieformalnych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i </w:t>
            </w:r>
            <w:proofErr w:type="spellStart"/>
            <w:r w:rsidRPr="001534A8">
              <w:rPr>
                <w:rFonts w:ascii="Garamond" w:hAnsi="Garamond"/>
                <w:sz w:val="20"/>
                <w:szCs w:val="20"/>
              </w:rPr>
              <w:t>pozaformalnych</w:t>
            </w:r>
            <w:proofErr w:type="spellEnd"/>
            <w:r w:rsidRPr="001534A8">
              <w:rPr>
                <w:rFonts w:ascii="Garamond" w:hAnsi="Garamond"/>
                <w:sz w:val="20"/>
                <w:szCs w:val="20"/>
              </w:rPr>
              <w:t xml:space="preserve"> ścieżek kształcenia umożliwiających ponowne podjęcie</w:t>
            </w:r>
          </w:p>
          <w:p w:rsidR="00567C3E" w:rsidRPr="001534A8" w:rsidRDefault="00567C3E" w:rsidP="00D32FA7">
            <w:pPr>
              <w:spacing w:before="40" w:after="40"/>
              <w:rPr>
                <w:rFonts w:ascii="Garamond" w:hAnsi="Garamond"/>
                <w:b/>
                <w:sz w:val="20"/>
                <w:szCs w:val="20"/>
              </w:rPr>
            </w:pPr>
            <w:r w:rsidRPr="001534A8">
              <w:rPr>
                <w:rFonts w:ascii="Garamond" w:hAnsi="Garamond"/>
                <w:sz w:val="20"/>
                <w:szCs w:val="20"/>
              </w:rPr>
              <w:t>kształcenia i szkolenia</w:t>
            </w:r>
          </w:p>
        </w:tc>
        <w:tc>
          <w:tcPr>
            <w:tcW w:w="1962"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Zwiększenie liczby miejsc przedszkolnych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Rozwijanie kompetencji kluczowych uczniów (ICT, matematyczno-przyrodniczych,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języki obce, kreatywności, innowacyjności, pracy zespołowej), doradztwo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edukacyjno-zawodowe, rozwijanie zindywidualizowanego podejścia do ucznia,</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szczególnie ze specjalnymi potrzebami edukacyjnymi oraz rozwijanie kompetencji uczniów niezbędnych na rynku pracy poprzez staże zawodowe</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Ważnym problemem i barierą rozwojową ORSG w obszarze edukacji na wszystkich poziomach kształcenia jest niedostateczna oferta zajęć pozalekcyjnych, szczególnie w zakresie rozwijania takich kompetencji kluczowych jak umiejętność uczenia się czy zwiększanie kreatywności ucznia.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Oferta zajęć rozwijających kompetencje kluczowe obejmuje przede wszystkim zajęcia stanowiące kontynuację podstawowego programu nauczania (język polski, języki obce, matematyka, informatyka itp.). W związku z tym można odnieść wrażenie, że oferta ta jest w większym stopniu dostosowana pod potrzeby nauczycieli niż pod potrzeby uczniów. Szkoły w znikomym stopniu realizują zajęcia z zakresu kształtowania postaw kreatywności, innowacyjności i pracy zespołowej czy przedsiębiorczości bądź umiejętności uczenia się.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Dlatego też należy z jednej strony zwiększyć ofertę zajęć pogłębiających kompetencje kluczowe, a z drugiej położyć nacisk na zwiększenie kwalifikacji nauczycieli.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Bardzo ważną sprawą jest także indywidualne podejście do ucznia – zarówno tego szczególnie uzdolnionego, jak i tego, który potrzebuje realizacji zajęć wyrównawczych. Dlatego niezmiernie ważne jest prawidłowe zdiagnozowanie sytuacji ucznia i odpowiednie kształtowanie jego ścieżki edukacyjnej, w związku z czym konieczny jest rozwój poradnictwa </w:t>
            </w:r>
            <w:proofErr w:type="spellStart"/>
            <w:r w:rsidRPr="001534A8">
              <w:rPr>
                <w:rFonts w:ascii="Garamond" w:hAnsi="Garamond"/>
                <w:sz w:val="20"/>
                <w:szCs w:val="20"/>
              </w:rPr>
              <w:t>psychologiczno</w:t>
            </w:r>
            <w:proofErr w:type="spellEnd"/>
            <w:r w:rsidRPr="001534A8">
              <w:rPr>
                <w:rFonts w:ascii="Garamond" w:hAnsi="Garamond"/>
                <w:sz w:val="20"/>
                <w:szCs w:val="20"/>
              </w:rPr>
              <w:t xml:space="preserve"> – pedagogicznego.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Potrzeby edukacyjne w zakresie rozwijania kompetencji kluczowych na poziomie podstawowym i gimnazjalnym stanowią załącznik nr 5 do Strategii, a na poziomie ponadpodstawowym – załącznik nr 7.</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Drugi ważny problem w systemie edukacji stanowi słabo </w:t>
            </w:r>
            <w:r w:rsidRPr="001534A8">
              <w:rPr>
                <w:rFonts w:ascii="Garamond" w:hAnsi="Garamond"/>
                <w:sz w:val="20"/>
                <w:szCs w:val="20"/>
              </w:rPr>
              <w:lastRenderedPageBreak/>
              <w:t xml:space="preserve">rozwinięte doradztwo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 Jest to szczególnie widoczne na poziomie gimnazjalnym. W szkołach tych doradztwo prowadzone jest w stopniu, który nie zaspokaja w pełni potrzeb wszystkich uczniów, co w efekcie prowadzi często do mylnego wyboru kierunku kształcenia, nieodpowiadającego posiadanym predyspozycjom. Dlatego też należy położyć nacisk na rozwój doradztwa edukacyjno-zawodowego związanego z wyborem dalszych kierunków kształcenia i uwzględniającego potrzeby rynku pracy.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Oferta i potrzeby w zakresie doradztwa edukacyjnego zawodowego, staży i praktyk na ORSG Powiatu Brodnickiego stanowi załącznik nr 6 do Strategii.</w:t>
            </w:r>
          </w:p>
        </w:tc>
      </w:tr>
      <w:tr w:rsidR="00567C3E" w:rsidRPr="001534A8" w:rsidTr="00D32FA7">
        <w:tc>
          <w:tcPr>
            <w:tcW w:w="1973" w:type="dxa"/>
          </w:tcPr>
          <w:p w:rsidR="00567C3E" w:rsidRPr="001534A8" w:rsidRDefault="00567C3E" w:rsidP="00D32FA7">
            <w:pPr>
              <w:spacing w:before="40" w:after="40"/>
              <w:rPr>
                <w:rFonts w:ascii="Garamond" w:hAnsi="Garamond"/>
                <w:sz w:val="20"/>
                <w:szCs w:val="20"/>
              </w:rPr>
            </w:pPr>
            <w:r w:rsidRPr="001534A8">
              <w:rPr>
                <w:rFonts w:ascii="Garamond" w:hAnsi="Garamond"/>
                <w:b/>
                <w:sz w:val="20"/>
                <w:szCs w:val="20"/>
              </w:rPr>
              <w:lastRenderedPageBreak/>
              <w:t xml:space="preserve">10iv </w:t>
            </w:r>
            <w:r w:rsidRPr="001534A8">
              <w:rPr>
                <w:rFonts w:ascii="Garamond" w:hAnsi="Garamond"/>
                <w:sz w:val="20"/>
                <w:szCs w:val="20"/>
              </w:rPr>
              <w:t>Lepsze dostosowanie systemów kształcenia i szkolenia do potrzeb rynku pracy,</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Ułatwianie przechodzenia z etapu kształcenia do etapu zatrudnienia oraz</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962" w:type="dxa"/>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Zwiększenie szans na zatrudnienie uczniów szkół zawodowych,</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w szczególności poprzez podniesienie efektywności kształcenia zawodowego</w:t>
            </w:r>
          </w:p>
          <w:p w:rsidR="00567C3E" w:rsidRPr="001534A8" w:rsidRDefault="00567C3E" w:rsidP="00D32FA7">
            <w:pPr>
              <w:spacing w:before="40" w:after="40"/>
              <w:rPr>
                <w:rFonts w:ascii="Garamond" w:hAnsi="Garamond"/>
                <w:sz w:val="20"/>
                <w:szCs w:val="20"/>
              </w:rPr>
            </w:pPr>
            <w:r w:rsidRPr="001534A8">
              <w:rPr>
                <w:rFonts w:ascii="Garamond" w:hAnsi="Garamond"/>
                <w:sz w:val="20"/>
                <w:szCs w:val="20"/>
              </w:rPr>
              <w:t xml:space="preserve">Uzyskiwanie i uzupełnianie wiedzy, umiejętności i kwalifikacji zawodowych przez osoby dorosłe należące do grup </w:t>
            </w:r>
            <w:proofErr w:type="spellStart"/>
            <w:r w:rsidRPr="001534A8">
              <w:rPr>
                <w:rFonts w:ascii="Garamond" w:hAnsi="Garamond"/>
                <w:sz w:val="20"/>
                <w:szCs w:val="20"/>
              </w:rPr>
              <w:t>defaworyzowanych</w:t>
            </w:r>
            <w:proofErr w:type="spellEnd"/>
            <w:r w:rsidRPr="001534A8">
              <w:rPr>
                <w:rFonts w:ascii="Garamond" w:hAnsi="Garamond"/>
                <w:sz w:val="20"/>
                <w:szCs w:val="20"/>
              </w:rPr>
              <w:t xml:space="preserve"> na rynku pracy poprzez udział w kwalifikacyjnych kursach zawodowych, kursach umiejętności zawodowych oraz innych formach pozaszkolnych</w:t>
            </w:r>
          </w:p>
        </w:tc>
        <w:tc>
          <w:tcPr>
            <w:tcW w:w="5137" w:type="dxa"/>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zadań w ramach priorytetu inwestycyjnego 10iv pozostaje w ścisłym związku z priorytetem inwestycyjnym 10a. Najlepsze efekty kształcenia zawodowego, mające przełożenie na zwiększenie szans na zatrudnienie uczniów, zostaną osiągnięte przy zapewnieniu kompleksowego wsparcia szkół zawodowych – począwszy od wsparcia inwestycyjnego, poprzez szkoleniowe, na zacieśnieniu współpracy z potencjalnymi pracodawcami skończywszy. Całemu temu procesowi towarzyszyć powinno profesjonalne wsparcie ucznia w zakresie poradnictwa </w:t>
            </w:r>
            <w:proofErr w:type="spellStart"/>
            <w:r w:rsidRPr="001534A8">
              <w:rPr>
                <w:rFonts w:ascii="Garamond" w:hAnsi="Garamond"/>
                <w:sz w:val="20"/>
                <w:szCs w:val="20"/>
              </w:rPr>
              <w:t>edukacyjno</w:t>
            </w:r>
            <w:proofErr w:type="spellEnd"/>
            <w:r w:rsidRPr="001534A8">
              <w:rPr>
                <w:rFonts w:ascii="Garamond" w:hAnsi="Garamond"/>
                <w:sz w:val="20"/>
                <w:szCs w:val="20"/>
              </w:rPr>
              <w:t xml:space="preserve"> – zawodowego, które prawidłowo określi jego predyspozycje zawodowe.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Z przeprowadzonej diagnozy wynika, że osoby dorosłe najchętniej korzystają ze szkoleń, które pozwalają nabyć nowe umiejętności „twarde”, a potrzeba podniesienia kwalifikacji wynika bezpośrednio z zapotrzebowania zgłaszanego przez rynek pracy. Największym zainteresowaniem cieszą się te, które kończą się certyfikatem lub nabyciem uprawnień</w:t>
            </w:r>
          </w:p>
        </w:tc>
      </w:tr>
    </w:tbl>
    <w:p w:rsidR="00567C3E" w:rsidRPr="001534A8" w:rsidRDefault="00567C3E" w:rsidP="00567C3E">
      <w:pPr>
        <w:spacing w:before="120" w:after="120"/>
        <w:jc w:val="both"/>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spacing w:before="120" w:after="120"/>
        <w:ind w:firstLine="708"/>
        <w:jc w:val="both"/>
        <w:rPr>
          <w:rFonts w:ascii="Garamond" w:hAnsi="Garamond"/>
        </w:rPr>
      </w:pPr>
      <w:r w:rsidRPr="001534A8">
        <w:rPr>
          <w:rFonts w:ascii="Garamond" w:hAnsi="Garamond"/>
        </w:rPr>
        <w:t xml:space="preserve">Przedstawione powyżej uwarunkowania obszaru, zdiagnozowane potrzeby i planowane kierunki działań w odniesieniu do priorytetów inwestycyjnych objętych polityką terytorialną, wskazują na jednorodność obszarową. Dlatego też z powodzeniem można realizować projekty rozwojowe o charakterze powiatowym z działaniami na poziomie miast i gmin. Określenie wspólnych problemów rozwojowych zapewnia bowiem możliwość podejmowania stałych i skoordynowanych przedsięwzięć. Nie wyklucza się również możliwości podjęcia współpracy z jednostkami sąsiednimi. </w:t>
      </w:r>
    </w:p>
    <w:p w:rsidR="00567C3E" w:rsidRPr="001534A8" w:rsidRDefault="00567C3E" w:rsidP="00567C3E">
      <w:pPr>
        <w:spacing w:before="120" w:after="120"/>
        <w:jc w:val="both"/>
        <w:rPr>
          <w:rFonts w:ascii="Garamond" w:hAnsi="Garamond"/>
        </w:rPr>
      </w:pPr>
      <w:r w:rsidRPr="001534A8">
        <w:rPr>
          <w:rFonts w:ascii="Garamond" w:hAnsi="Garamond"/>
        </w:rPr>
        <w:tab/>
        <w:t xml:space="preserve">Terytorialny wymiar polityki rozwoju wymusza zmianę sposobu współdziałania władz samorządowych na rzecz rozwoju przekraczającego tradycyjne granice formalnych podziałów administracyjnych. </w:t>
      </w:r>
    </w:p>
    <w:p w:rsidR="00567C3E" w:rsidRPr="001534A8" w:rsidRDefault="00567C3E" w:rsidP="00567C3E">
      <w:pPr>
        <w:spacing w:before="120" w:after="120"/>
        <w:ind w:firstLine="708"/>
        <w:jc w:val="both"/>
        <w:rPr>
          <w:rFonts w:ascii="Garamond" w:hAnsi="Garamond"/>
        </w:rPr>
        <w:sectPr w:rsidR="00567C3E" w:rsidRPr="001534A8" w:rsidSect="00D32FA7">
          <w:pgSz w:w="11906" w:h="16838"/>
          <w:pgMar w:top="1417" w:right="1417" w:bottom="1417" w:left="1417" w:header="708" w:footer="708" w:gutter="0"/>
          <w:cols w:space="708"/>
          <w:docGrid w:linePitch="360"/>
        </w:sectPr>
      </w:pPr>
      <w:r w:rsidRPr="001534A8">
        <w:rPr>
          <w:rFonts w:ascii="Garamond" w:hAnsi="Garamond"/>
        </w:rPr>
        <w:t>Polityka rozwoju oparta o zasadę zintegrowanego podejścia terytorialnego będzie wspierać proces wzmacniania spójności celów i działań rozwojowych zidentyfikowanych na poziomie lokalnym.</w:t>
      </w:r>
    </w:p>
    <w:p w:rsidR="00567C3E" w:rsidRPr="001534A8" w:rsidRDefault="00567C3E" w:rsidP="00567C3E">
      <w:pPr>
        <w:pStyle w:val="ST2"/>
        <w:rPr>
          <w:szCs w:val="40"/>
        </w:rPr>
      </w:pPr>
      <w:bookmarkStart w:id="91" w:name="_Toc414270105"/>
      <w:bookmarkStart w:id="92" w:name="_Toc419705527"/>
      <w:r w:rsidRPr="001534A8">
        <w:lastRenderedPageBreak/>
        <w:t xml:space="preserve">Cele </w:t>
      </w:r>
      <w:bookmarkEnd w:id="91"/>
      <w:r w:rsidRPr="001534A8">
        <w:t>rozwojowe</w:t>
      </w:r>
      <w:bookmarkEnd w:id="92"/>
    </w:p>
    <w:p w:rsidR="00567C3E" w:rsidRPr="001534A8" w:rsidRDefault="00567C3E" w:rsidP="00567C3E">
      <w:pPr>
        <w:pStyle w:val="S1"/>
        <w:numPr>
          <w:ilvl w:val="0"/>
          <w:numId w:val="0"/>
        </w:numPr>
        <w:tabs>
          <w:tab w:val="left" w:pos="709"/>
        </w:tabs>
        <w:rPr>
          <w:b w:val="0"/>
          <w:color w:val="auto"/>
          <w:sz w:val="22"/>
        </w:rPr>
      </w:pPr>
      <w:bookmarkStart w:id="93" w:name="_Toc414271386"/>
      <w:r w:rsidRPr="001534A8">
        <w:rPr>
          <w:b w:val="0"/>
          <w:color w:val="auto"/>
          <w:sz w:val="22"/>
        </w:rPr>
        <w:tab/>
      </w:r>
    </w:p>
    <w:p w:rsidR="00567C3E" w:rsidRPr="001534A8" w:rsidRDefault="00567C3E" w:rsidP="00567C3E">
      <w:pPr>
        <w:pStyle w:val="S1"/>
        <w:numPr>
          <w:ilvl w:val="0"/>
          <w:numId w:val="0"/>
        </w:numPr>
        <w:tabs>
          <w:tab w:val="left" w:pos="709"/>
        </w:tabs>
        <w:rPr>
          <w:b w:val="0"/>
          <w:color w:val="auto"/>
          <w:sz w:val="22"/>
        </w:rPr>
      </w:pPr>
      <w:r w:rsidRPr="001534A8">
        <w:rPr>
          <w:b w:val="0"/>
          <w:color w:val="auto"/>
          <w:sz w:val="22"/>
        </w:rPr>
        <w:tab/>
        <w:t xml:space="preserve">Realizacja Strategii ORSG Powiatu Brodnickiego będzie możliwa poprzez osiągnięcie celów strategicznych i operacyjnych. Katalog celów kluczowych i odpowiadających im celów szczegółowych przedstawiono w poniższej tabeli. </w:t>
      </w:r>
    </w:p>
    <w:p w:rsidR="00567C3E" w:rsidRPr="001534A8" w:rsidRDefault="00567C3E" w:rsidP="00567C3E">
      <w:pPr>
        <w:pStyle w:val="T"/>
      </w:pPr>
      <w:bookmarkStart w:id="94" w:name="_Toc430872023"/>
      <w:r w:rsidRPr="001534A8">
        <w:t xml:space="preserve">Tabela </w:t>
      </w:r>
      <w:r>
        <w:t>41</w:t>
      </w:r>
      <w:r w:rsidRPr="001534A8">
        <w:t>. Cele strategiczne i cele operacyjne</w:t>
      </w:r>
      <w:bookmarkEnd w:id="94"/>
      <w:r w:rsidRPr="001534A8">
        <w:t xml:space="preserve"> </w:t>
      </w:r>
      <w:bookmarkEnd w:id="93"/>
    </w:p>
    <w:tbl>
      <w:tblPr>
        <w:tblStyle w:val="Tabela-Siatka"/>
        <w:tblW w:w="95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824BB0"/>
        <w:tblLayout w:type="fixed"/>
        <w:tblLook w:val="04A0" w:firstRow="1" w:lastRow="0" w:firstColumn="1" w:lastColumn="0" w:noHBand="0" w:noVBand="1"/>
      </w:tblPr>
      <w:tblGrid>
        <w:gridCol w:w="612"/>
        <w:gridCol w:w="2473"/>
        <w:gridCol w:w="6421"/>
      </w:tblGrid>
      <w:tr w:rsidR="00567C3E" w:rsidRPr="001534A8" w:rsidTr="00D32FA7">
        <w:tc>
          <w:tcPr>
            <w:tcW w:w="612" w:type="dxa"/>
            <w:tcBorders>
              <w:bottom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Lp.</w:t>
            </w:r>
          </w:p>
        </w:tc>
        <w:tc>
          <w:tcPr>
            <w:tcW w:w="2473"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 strategiczny</w:t>
            </w:r>
          </w:p>
        </w:tc>
        <w:tc>
          <w:tcPr>
            <w:tcW w:w="6421" w:type="dxa"/>
            <w:tcBorders>
              <w:left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Cele operacyjne</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1</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innowacyjnej i konkurencyjnej gospodarki</w:t>
            </w:r>
          </w:p>
        </w:tc>
        <w:tc>
          <w:tcPr>
            <w:tcW w:w="6421" w:type="dxa"/>
            <w:shd w:val="clear" w:color="auto" w:fill="auto"/>
            <w:vAlign w:val="center"/>
          </w:tcPr>
          <w:p w:rsidR="00567C3E" w:rsidRPr="001534A8" w:rsidRDefault="00567C3E" w:rsidP="00D32FA7">
            <w:pPr>
              <w:spacing w:before="40" w:after="40"/>
              <w:ind w:left="317" w:hanging="317"/>
              <w:rPr>
                <w:rFonts w:ascii="Garamond" w:hAnsi="Garamond"/>
                <w:sz w:val="20"/>
                <w:szCs w:val="20"/>
              </w:rPr>
            </w:pPr>
            <w:r w:rsidRPr="001534A8">
              <w:rPr>
                <w:rFonts w:ascii="Garamond" w:hAnsi="Garamond"/>
                <w:sz w:val="20"/>
                <w:szCs w:val="20"/>
              </w:rPr>
              <w:t>1.1. Wzrost konkurencyjności przedsiębiorstw, szczególnie tych działających w obszarze inteligentnych specjalizacji</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rPr>
                <w:rFonts w:ascii="Garamond" w:hAnsi="Garamond"/>
                <w:sz w:val="20"/>
                <w:szCs w:val="20"/>
              </w:rPr>
            </w:pPr>
            <w:r w:rsidRPr="001534A8">
              <w:rPr>
                <w:rFonts w:ascii="Garamond" w:hAnsi="Garamond"/>
                <w:sz w:val="20"/>
                <w:szCs w:val="20"/>
              </w:rPr>
              <w:t>1.2. Stworzenie przyjaznych warunków dla rozwoju przedsiębiorczości</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26"/>
              </w:numPr>
              <w:spacing w:before="40" w:after="40" w:line="276" w:lineRule="auto"/>
              <w:ind w:left="357" w:hanging="357"/>
              <w:rPr>
                <w:rFonts w:ascii="Garamond" w:hAnsi="Garamond"/>
                <w:sz w:val="20"/>
                <w:szCs w:val="20"/>
              </w:rPr>
            </w:pPr>
            <w:r w:rsidRPr="001534A8">
              <w:rPr>
                <w:rFonts w:ascii="Garamond" w:hAnsi="Garamond"/>
                <w:sz w:val="20"/>
                <w:szCs w:val="20"/>
              </w:rPr>
              <w:t xml:space="preserve">Wzmocnienie powiązań między przedsiębiorcami, a instytucjami otoczenia biznesu oraz rozwój sektora wsparcia biznesu </w:t>
            </w:r>
          </w:p>
        </w:tc>
      </w:tr>
      <w:tr w:rsidR="00567C3E" w:rsidRPr="001534A8" w:rsidTr="00D32FA7">
        <w:trPr>
          <w:trHeight w:val="338"/>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2</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Nowoczesna oferta edukacyjna odpowiadająca potrzebom rynku pracy</w:t>
            </w: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2.1. Upowszechnianie edukacji przedszkolnej poprzez modernizację i doposażenie obiektów przedszkolnych</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2.2. Poprawa jakości kształcenie poprzez wyposażenie placówek kształcenia zawodowego w odpowiedni sprzęt</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317" w:hanging="317"/>
              <w:rPr>
                <w:rFonts w:ascii="Garamond" w:hAnsi="Garamond"/>
                <w:sz w:val="20"/>
                <w:szCs w:val="20"/>
              </w:rPr>
            </w:pPr>
            <w:r w:rsidRPr="001534A8">
              <w:rPr>
                <w:rFonts w:ascii="Garamond" w:hAnsi="Garamond"/>
                <w:sz w:val="20"/>
                <w:szCs w:val="20"/>
              </w:rPr>
              <w:t>2.3. Rozwój kompetencji kluczowych uczniów oraz podnoszenie kwalifikacji i kompetencji nauczycieli na wszystkich poziomach kształcenia</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2.4. Wsparcie rozwoju doradztwa edukacyjno-zawodowego</w:t>
            </w:r>
          </w:p>
        </w:tc>
      </w:tr>
      <w:tr w:rsidR="00567C3E" w:rsidRPr="001534A8" w:rsidTr="00D32FA7">
        <w:trPr>
          <w:trHeight w:val="338"/>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rPr>
                <w:rFonts w:ascii="Garamond" w:hAnsi="Garamond"/>
                <w:sz w:val="20"/>
                <w:szCs w:val="20"/>
              </w:rPr>
            </w:pPr>
            <w:r w:rsidRPr="001534A8">
              <w:rPr>
                <w:rFonts w:ascii="Garamond" w:hAnsi="Garamond"/>
                <w:sz w:val="20"/>
                <w:szCs w:val="20"/>
              </w:rPr>
              <w:t>2.5. Dostosowanie oferty edukacyjnej do potrzeb rynku pracy</w:t>
            </w:r>
          </w:p>
        </w:tc>
      </w:tr>
      <w:tr w:rsidR="00567C3E" w:rsidRPr="001534A8" w:rsidTr="00D32FA7">
        <w:trPr>
          <w:trHeight w:val="338"/>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spacing w:before="40" w:after="40" w:line="276" w:lineRule="auto"/>
              <w:ind w:left="459" w:hanging="459"/>
              <w:rPr>
                <w:rFonts w:ascii="Garamond" w:hAnsi="Garamond"/>
                <w:sz w:val="20"/>
                <w:szCs w:val="20"/>
              </w:rPr>
            </w:pPr>
            <w:r w:rsidRPr="001534A8">
              <w:rPr>
                <w:rFonts w:ascii="Garamond" w:hAnsi="Garamond"/>
                <w:sz w:val="20"/>
                <w:szCs w:val="20"/>
              </w:rPr>
              <w:t>2.6. Atrakcyjna oferta staży i praktyk zawodowych</w:t>
            </w:r>
          </w:p>
        </w:tc>
      </w:tr>
      <w:tr w:rsidR="00567C3E" w:rsidRPr="001534A8" w:rsidTr="00D32FA7">
        <w:trPr>
          <w:trHeight w:val="112"/>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3</w:t>
            </w:r>
          </w:p>
          <w:p w:rsidR="00567C3E" w:rsidRPr="001534A8" w:rsidRDefault="00567C3E" w:rsidP="00D32FA7">
            <w:pPr>
              <w:spacing w:before="40" w:after="40"/>
              <w:rPr>
                <w:rFonts w:ascii="Garamond" w:hAnsi="Garamond"/>
                <w:b/>
                <w:color w:val="FFFFFF" w:themeColor="background1"/>
                <w:sz w:val="20"/>
                <w:szCs w:val="20"/>
              </w:rPr>
            </w:pP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 xml:space="preserve">Wzmocnienie integracji społecznej i dostosowanie systemu opieki zdrowotnej do sytuacji demograficznej  </w:t>
            </w: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Poprawa jakości i zwiększenie oferty usług medycznych </w:t>
            </w:r>
          </w:p>
        </w:tc>
      </w:tr>
      <w:tr w:rsidR="00567C3E" w:rsidRPr="001534A8" w:rsidTr="00D32FA7">
        <w:trPr>
          <w:trHeight w:val="289"/>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Realizacja programów profilaktycznych i działań edukacyjnych w obszarze zdrowia</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Przeciwdziałanie wykluczeniu społecznemu i ubóstwu </w:t>
            </w:r>
          </w:p>
        </w:tc>
      </w:tr>
      <w:tr w:rsidR="00567C3E" w:rsidRPr="001534A8" w:rsidTr="00D32FA7">
        <w:trPr>
          <w:trHeight w:val="327"/>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D32FA7">
            <w:pPr>
              <w:pStyle w:val="Akapitzlist"/>
              <w:numPr>
                <w:ilvl w:val="1"/>
                <w:numId w:val="32"/>
              </w:numPr>
              <w:spacing w:before="40" w:after="40" w:line="276" w:lineRule="auto"/>
              <w:rPr>
                <w:rFonts w:ascii="Garamond" w:hAnsi="Garamond"/>
                <w:sz w:val="20"/>
                <w:szCs w:val="20"/>
              </w:rPr>
            </w:pPr>
            <w:r w:rsidRPr="001534A8">
              <w:rPr>
                <w:rFonts w:ascii="Garamond" w:hAnsi="Garamond"/>
                <w:sz w:val="20"/>
                <w:szCs w:val="20"/>
              </w:rPr>
              <w:t xml:space="preserve">Rozwój usług opiekuńczych skierowanych do osób starszych i niepełnosprawnych </w:t>
            </w:r>
          </w:p>
        </w:tc>
      </w:tr>
      <w:tr w:rsidR="00567C3E" w:rsidRPr="001534A8" w:rsidTr="00D32FA7">
        <w:trPr>
          <w:trHeight w:val="210"/>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4</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Ochrona dziedzictwa kulturowego regionu i promocja walorów przyrodniczych</w:t>
            </w: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Ochrona zabytków oraz tworzenie i modernizacja instytucji kultury</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rPr>
                <w:rFonts w:ascii="Garamond" w:hAnsi="Garamond"/>
                <w:sz w:val="20"/>
                <w:szCs w:val="20"/>
              </w:rPr>
            </w:pPr>
            <w:r w:rsidRPr="001534A8">
              <w:rPr>
                <w:rFonts w:ascii="Garamond" w:hAnsi="Garamond"/>
                <w:sz w:val="20"/>
                <w:szCs w:val="20"/>
              </w:rPr>
              <w:t xml:space="preserve">Rozwój działalności kulturalnej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 xml:space="preserve">Promowanie walorów regionu poprzez organizację imprez i wydarzeń kulturalnych o znaczeniu ponadregionalnym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Rozwój turystyki krajoznawczej na bazie walorów przyrodniczych</w:t>
            </w:r>
          </w:p>
        </w:tc>
      </w:tr>
      <w:tr w:rsidR="00567C3E" w:rsidRPr="001534A8" w:rsidTr="00D32FA7">
        <w:trPr>
          <w:trHeight w:val="210"/>
        </w:trPr>
        <w:tc>
          <w:tcPr>
            <w:tcW w:w="612" w:type="dxa"/>
            <w:vMerge/>
            <w:tcBorders>
              <w:bottom w:val="single" w:sz="4" w:space="0" w:color="FFFFFF" w:themeColor="background1"/>
            </w:tcBorders>
            <w:shd w:val="clear" w:color="auto" w:fill="824BB0"/>
            <w:vAlign w:val="center"/>
          </w:tcPr>
          <w:p w:rsidR="00567C3E" w:rsidRPr="001534A8" w:rsidRDefault="00567C3E" w:rsidP="00D32FA7">
            <w:pPr>
              <w:spacing w:before="40" w:after="40"/>
              <w:rPr>
                <w:rFonts w:ascii="Garamond" w:hAnsi="Garamond"/>
                <w:b/>
                <w:color w:val="FFFFFF" w:themeColor="background1"/>
                <w:sz w:val="20"/>
                <w:szCs w:val="20"/>
              </w:rPr>
            </w:pPr>
          </w:p>
        </w:tc>
        <w:tc>
          <w:tcPr>
            <w:tcW w:w="2473" w:type="dxa"/>
            <w:vMerge/>
            <w:shd w:val="clear" w:color="auto" w:fill="auto"/>
            <w:vAlign w:val="center"/>
          </w:tcPr>
          <w:p w:rsidR="00567C3E" w:rsidRPr="001534A8" w:rsidRDefault="00567C3E" w:rsidP="00D32FA7">
            <w:pPr>
              <w:spacing w:before="40" w:after="40"/>
              <w:jc w:val="center"/>
              <w:rPr>
                <w:rFonts w:ascii="Garamond" w:hAnsi="Garamond" w:cs="Arial"/>
                <w:sz w:val="20"/>
                <w:szCs w:val="20"/>
              </w:rPr>
            </w:pPr>
          </w:p>
        </w:tc>
        <w:tc>
          <w:tcPr>
            <w:tcW w:w="6421" w:type="dxa"/>
            <w:shd w:val="clear" w:color="auto" w:fill="auto"/>
            <w:vAlign w:val="center"/>
          </w:tcPr>
          <w:p w:rsidR="00567C3E" w:rsidRPr="001534A8" w:rsidRDefault="00567C3E" w:rsidP="00E36E87">
            <w:pPr>
              <w:pStyle w:val="Akapitzlist"/>
              <w:numPr>
                <w:ilvl w:val="1"/>
                <w:numId w:val="132"/>
              </w:numPr>
              <w:spacing w:before="40" w:after="40" w:line="276" w:lineRule="auto"/>
              <w:rPr>
                <w:rFonts w:ascii="Garamond" w:hAnsi="Garamond"/>
                <w:sz w:val="20"/>
                <w:szCs w:val="20"/>
              </w:rPr>
            </w:pPr>
            <w:r w:rsidRPr="001534A8">
              <w:rPr>
                <w:rFonts w:ascii="Garamond" w:hAnsi="Garamond"/>
                <w:sz w:val="20"/>
                <w:szCs w:val="20"/>
              </w:rPr>
              <w:t>Ochrona krajobrazu i bioróżnorodności przyrodniczej oraz kształtowanie świadomości ekologicznej mieszkańców</w:t>
            </w:r>
          </w:p>
        </w:tc>
      </w:tr>
      <w:tr w:rsidR="00567C3E" w:rsidRPr="001534A8" w:rsidTr="00D32FA7">
        <w:trPr>
          <w:trHeight w:val="386"/>
        </w:trPr>
        <w:tc>
          <w:tcPr>
            <w:tcW w:w="612" w:type="dxa"/>
            <w:vMerge w:val="restart"/>
            <w:tcBorders>
              <w:top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5</w:t>
            </w:r>
          </w:p>
        </w:tc>
        <w:tc>
          <w:tcPr>
            <w:tcW w:w="2473" w:type="dxa"/>
            <w:vMerge w:val="restart"/>
            <w:shd w:val="clear" w:color="auto" w:fill="auto"/>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Rozwój i poprawa jakości infrastruktury technicznej</w:t>
            </w: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Rozwój i uporządkowanie gospodarki wodno-ściekowej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Usprawnienie systemu selektywnej zbiórki odpadów</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Poprawa i rozwój infrastruktury technicznej i drogowej</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Rozwój sieci gazowej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 xml:space="preserve">Wspieranie niskoemisyjnej gospodarki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 Inteligentne zarządzanie energią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line="276" w:lineRule="auto"/>
              <w:rPr>
                <w:rFonts w:ascii="Garamond" w:hAnsi="Garamond"/>
                <w:sz w:val="20"/>
                <w:szCs w:val="20"/>
              </w:rPr>
            </w:pPr>
            <w:r w:rsidRPr="001534A8">
              <w:rPr>
                <w:rFonts w:ascii="Garamond" w:hAnsi="Garamond"/>
                <w:sz w:val="20"/>
                <w:szCs w:val="20"/>
              </w:rPr>
              <w:t>Rozbudowa ciągów pieszo-rowerowych</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Modernizacja taboru komunikacji miejskiej oraz wprowadzenie nowych rozwiązań polityki parkingowej </w:t>
            </w:r>
          </w:p>
        </w:tc>
      </w:tr>
      <w:tr w:rsidR="00567C3E" w:rsidRPr="001534A8" w:rsidTr="00D32FA7">
        <w:trPr>
          <w:trHeight w:val="210"/>
        </w:trPr>
        <w:tc>
          <w:tcPr>
            <w:tcW w:w="612" w:type="dxa"/>
            <w:vMerge/>
            <w:shd w:val="clear" w:color="auto" w:fill="824BB0"/>
            <w:vAlign w:val="center"/>
          </w:tcPr>
          <w:p w:rsidR="00567C3E" w:rsidRPr="001534A8" w:rsidRDefault="00567C3E" w:rsidP="00D32FA7">
            <w:pPr>
              <w:spacing w:before="40" w:after="40"/>
              <w:jc w:val="center"/>
              <w:rPr>
                <w:rFonts w:ascii="Garamond" w:hAnsi="Garamond"/>
                <w:color w:val="FF0000"/>
                <w:sz w:val="20"/>
                <w:szCs w:val="20"/>
              </w:rPr>
            </w:pPr>
          </w:p>
        </w:tc>
        <w:tc>
          <w:tcPr>
            <w:tcW w:w="2473" w:type="dxa"/>
            <w:vMerge/>
            <w:shd w:val="clear" w:color="auto" w:fill="auto"/>
            <w:vAlign w:val="center"/>
          </w:tcPr>
          <w:p w:rsidR="00567C3E" w:rsidRPr="001534A8" w:rsidRDefault="00567C3E" w:rsidP="00D32FA7">
            <w:pPr>
              <w:spacing w:before="40" w:after="40"/>
              <w:rPr>
                <w:rFonts w:ascii="Garamond" w:hAnsi="Garamond"/>
                <w:sz w:val="20"/>
                <w:szCs w:val="20"/>
              </w:rPr>
            </w:pPr>
          </w:p>
        </w:tc>
        <w:tc>
          <w:tcPr>
            <w:tcW w:w="6421" w:type="dxa"/>
            <w:shd w:val="clear" w:color="auto" w:fill="auto"/>
            <w:vAlign w:val="center"/>
          </w:tcPr>
          <w:p w:rsidR="00567C3E" w:rsidRPr="001534A8" w:rsidRDefault="00567C3E" w:rsidP="00E36E87">
            <w:pPr>
              <w:pStyle w:val="Akapitzlist"/>
              <w:numPr>
                <w:ilvl w:val="1"/>
                <w:numId w:val="133"/>
              </w:numPr>
              <w:spacing w:before="40" w:after="40"/>
              <w:rPr>
                <w:rFonts w:ascii="Garamond" w:hAnsi="Garamond"/>
                <w:sz w:val="20"/>
                <w:szCs w:val="20"/>
              </w:rPr>
            </w:pPr>
            <w:r w:rsidRPr="001534A8">
              <w:rPr>
                <w:rFonts w:ascii="Garamond" w:hAnsi="Garamond"/>
                <w:sz w:val="20"/>
                <w:szCs w:val="20"/>
              </w:rPr>
              <w:t xml:space="preserve">Poprawa dostępu do szerokopasmowego Internetu </w:t>
            </w: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jc w:val="both"/>
        <w:rPr>
          <w:rFonts w:ascii="Garamond" w:hAnsi="Garamond"/>
        </w:rPr>
      </w:pPr>
      <w:r w:rsidRPr="001534A8">
        <w:rPr>
          <w:rFonts w:ascii="Garamond" w:hAnsi="Garamond"/>
        </w:rPr>
        <w:t>Cele Strategii ORSG są zgodne z dokumentami strategicznymi, które przedstawia poniższy schemat.</w:t>
      </w:r>
    </w:p>
    <w:p w:rsidR="00567C3E" w:rsidRPr="001534A8" w:rsidRDefault="00567C3E" w:rsidP="00567C3E">
      <w:pPr>
        <w:pStyle w:val="Schemat"/>
      </w:pPr>
      <w:bookmarkStart w:id="95" w:name="_Toc419110268"/>
      <w:r w:rsidRPr="001534A8">
        <w:t>Schemat 3. Dokumenty strategiczne, z którymi wykazuje zgodność Strategia ORSG</w:t>
      </w:r>
      <w:bookmarkEnd w:id="95"/>
      <w:r w:rsidRPr="001534A8">
        <w:t xml:space="preserve">  </w:t>
      </w:r>
    </w:p>
    <w:tbl>
      <w:tblPr>
        <w:tblStyle w:val="Tabela-Siatka"/>
        <w:tblW w:w="5000" w:type="pct"/>
        <w:jc w:val="center"/>
        <w:tblLook w:val="04A0" w:firstRow="1" w:lastRow="0" w:firstColumn="1" w:lastColumn="0" w:noHBand="0" w:noVBand="1"/>
      </w:tblPr>
      <w:tblGrid>
        <w:gridCol w:w="2123"/>
        <w:gridCol w:w="266"/>
        <w:gridCol w:w="2123"/>
        <w:gridCol w:w="266"/>
        <w:gridCol w:w="2123"/>
        <w:gridCol w:w="266"/>
        <w:gridCol w:w="2121"/>
      </w:tblGrid>
      <w:tr w:rsidR="00567C3E" w:rsidRPr="001534A8" w:rsidTr="00D32FA7">
        <w:trPr>
          <w:jc w:val="center"/>
        </w:trPr>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wspólnotowy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krajowy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regionalny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Poziom lokalny</w:t>
            </w:r>
          </w:p>
        </w:tc>
      </w:tr>
      <w:tr w:rsidR="00567C3E" w:rsidRPr="001534A8" w:rsidTr="00D32FA7">
        <w:trPr>
          <w:jc w:val="center"/>
        </w:trPr>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Europa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 xml:space="preserve">Długookresowa Strategia Rozwoju Kraju </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Polska 2030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Trzecia fala nowoczesności</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województwa kujawsko-pomorskiego do roku 2020 – Plan modernizacji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Strategie rozwoju miast i gmin ORSG</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Agenda Terytorialna Unii Europejskiej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Strategia Rozwoju Kraju 2020 Aktywne społeczeństwo Konkurencyjna gospodarka Sprawne państwo</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Regionalna Strategia Innowacji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Lokalne Programy Rewitalizacji</w:t>
            </w:r>
          </w:p>
        </w:tc>
      </w:tr>
      <w:tr w:rsidR="00567C3E" w:rsidRPr="001534A8" w:rsidTr="00D32FA7">
        <w:trPr>
          <w:jc w:val="center"/>
        </w:trPr>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Strategia Rozwoju Regionalnego 2010-2020</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Regiony</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Miasta</w:t>
            </w:r>
          </w:p>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Obszary wiejskie</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Założenia polityki terytorialnej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Gospodarki Niskoemisyjnej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Koncepcja Przestrzennego Zagospodarowania Kraju 2030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Regionalny Program Operacyjny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Plany Mobilności Miejskiej</w:t>
            </w: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single" w:sz="4" w:space="0" w:color="B1059D"/>
              <w:left w:val="single" w:sz="4" w:space="0" w:color="FFFFFF" w:themeColor="background1"/>
              <w:bottom w:val="nil"/>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r w:rsidR="00567C3E" w:rsidRPr="001534A8" w:rsidTr="00D32FA7">
        <w:trPr>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Krajowa Polityka Miejska</w:t>
            </w:r>
          </w:p>
        </w:tc>
        <w:tc>
          <w:tcPr>
            <w:tcW w:w="143" w:type="pct"/>
            <w:tcBorders>
              <w:top w:val="single" w:sz="4" w:space="0" w:color="FFFFFF" w:themeColor="background1"/>
              <w:left w:val="single" w:sz="4" w:space="0" w:color="B1059D"/>
              <w:bottom w:val="single" w:sz="4" w:space="0" w:color="FFFFFF" w:themeColor="background1"/>
              <w:right w:val="single" w:sz="4" w:space="0" w:color="FFFFFF" w:themeColor="background1"/>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16"/>
                <w:szCs w:val="16"/>
              </w:rPr>
            </w:pPr>
            <w:r w:rsidRPr="001534A8">
              <w:rPr>
                <w:rFonts w:ascii="Garamond" w:hAnsi="Garamond"/>
                <w:b/>
                <w:color w:val="FFFFFF" w:themeColor="background1"/>
                <w:sz w:val="16"/>
                <w:szCs w:val="16"/>
              </w:rPr>
              <w:t>Plan Zagospodarowania Przestrzennego Województwa Kujawsko-Pomorskiego</w:t>
            </w:r>
          </w:p>
        </w:tc>
        <w:tc>
          <w:tcPr>
            <w:tcW w:w="143" w:type="pct"/>
            <w:tcBorders>
              <w:top w:val="single" w:sz="4" w:space="0" w:color="FFFFFF" w:themeColor="background1"/>
              <w:left w:val="single" w:sz="4" w:space="0" w:color="FFFFFF" w:themeColor="background1"/>
              <w:bottom w:val="single" w:sz="4" w:space="0" w:color="FFFFFF" w:themeColor="background1"/>
              <w:right w:val="nil"/>
            </w:tcBorders>
            <w:vAlign w:val="center"/>
          </w:tcPr>
          <w:p w:rsidR="00567C3E" w:rsidRPr="001534A8" w:rsidRDefault="00567C3E" w:rsidP="00D32FA7">
            <w:pPr>
              <w:spacing w:before="40" w:after="40"/>
              <w:jc w:val="center"/>
              <w:rPr>
                <w:rFonts w:ascii="Garamond" w:hAnsi="Garamond"/>
                <w:b/>
                <w:color w:val="FFFFFF" w:themeColor="background1"/>
                <w:sz w:val="16"/>
                <w:szCs w:val="16"/>
              </w:rPr>
            </w:pPr>
          </w:p>
        </w:tc>
        <w:tc>
          <w:tcPr>
            <w:tcW w:w="1142" w:type="pct"/>
            <w:tcBorders>
              <w:top w:val="nil"/>
              <w:left w:val="nil"/>
              <w:bottom w:val="nil"/>
              <w:right w:val="nil"/>
            </w:tcBorders>
            <w:shd w:val="clear" w:color="auto" w:fill="auto"/>
            <w:vAlign w:val="center"/>
          </w:tcPr>
          <w:p w:rsidR="00567C3E" w:rsidRPr="001534A8" w:rsidRDefault="00567C3E" w:rsidP="00D32FA7">
            <w:pPr>
              <w:spacing w:before="40" w:after="40"/>
              <w:jc w:val="center"/>
              <w:rPr>
                <w:rFonts w:ascii="Garamond" w:hAnsi="Garamond"/>
                <w:b/>
                <w:color w:val="FFFFFF" w:themeColor="background1"/>
                <w:sz w:val="16"/>
                <w:szCs w:val="16"/>
              </w:rPr>
            </w:pPr>
          </w:p>
        </w:tc>
      </w:tr>
    </w:tbl>
    <w:p w:rsidR="00567C3E" w:rsidRPr="001534A8" w:rsidRDefault="00567C3E" w:rsidP="00567C3E">
      <w:pPr>
        <w:spacing w:before="120"/>
        <w:rPr>
          <w:rFonts w:ascii="Garamond" w:hAnsi="Garamond"/>
          <w:i/>
          <w:sz w:val="20"/>
        </w:rPr>
      </w:pPr>
      <w:r w:rsidRPr="001534A8">
        <w:rPr>
          <w:rFonts w:ascii="Garamond" w:hAnsi="Garamond"/>
          <w:sz w:val="20"/>
        </w:rPr>
        <w:t xml:space="preserve">Źródło: </w:t>
      </w:r>
      <w:r w:rsidRPr="001534A8">
        <w:rPr>
          <w:rFonts w:ascii="Garamond" w:hAnsi="Garamond"/>
          <w:i/>
          <w:sz w:val="20"/>
        </w:rPr>
        <w:t>Opracowanie własne.</w:t>
      </w:r>
    </w:p>
    <w:p w:rsidR="00567C3E" w:rsidRPr="001534A8" w:rsidRDefault="00567C3E" w:rsidP="00567C3E">
      <w:pPr>
        <w:ind w:firstLine="708"/>
        <w:jc w:val="both"/>
        <w:rPr>
          <w:rFonts w:ascii="Garamond" w:hAnsi="Garamond"/>
        </w:rPr>
      </w:pPr>
      <w:r w:rsidRPr="001534A8">
        <w:rPr>
          <w:rFonts w:ascii="Garamond" w:hAnsi="Garamond"/>
        </w:rPr>
        <w:t xml:space="preserve">Poniżej wykazano spójność Strategii ORSG z istniejącymi i przygotowywanymi dokumentami strategicznymi na poziomie europejskim, krajowym, regionalnym oraz lokalnym.  </w:t>
      </w:r>
    </w:p>
    <w:p w:rsidR="00567C3E" w:rsidRPr="001534A8" w:rsidRDefault="00567C3E" w:rsidP="00567C3E">
      <w:pPr>
        <w:pStyle w:val="T"/>
      </w:pPr>
      <w:bookmarkStart w:id="96" w:name="_Toc430872024"/>
      <w:r w:rsidRPr="001534A8">
        <w:t xml:space="preserve">Tabela </w:t>
      </w:r>
      <w:r>
        <w:t>42</w:t>
      </w:r>
      <w:r w:rsidRPr="001534A8">
        <w:t>. Zgodność Strategii ORSG z dokumentami strategicznymi</w:t>
      </w:r>
      <w:bookmarkEnd w:id="96"/>
      <w:r w:rsidRPr="001534A8">
        <w:t xml:space="preserve"> </w:t>
      </w:r>
    </w:p>
    <w:tbl>
      <w:tblPr>
        <w:tblStyle w:val="Tabela-Siatka"/>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384"/>
        <w:gridCol w:w="879"/>
        <w:gridCol w:w="964"/>
        <w:gridCol w:w="5835"/>
      </w:tblGrid>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wspólnotowy</w:t>
            </w:r>
          </w:p>
        </w:tc>
      </w:tr>
      <w:tr w:rsidR="00567C3E" w:rsidRPr="001534A8" w:rsidTr="00D32FA7">
        <w:trPr>
          <w:trHeight w:val="518"/>
        </w:trPr>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Europa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Europa 2020 jest długookresowym programem Unii Europejskiej na rzecz wzrostu gospodarczego i zatrudnienia.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dwoma z trzech głównych priorytetów Strategii Europa 2020:</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zrównoważony – transformacja w kierunku gospodarki niskoemisyjnej, efektywniej korzystającej z zasobów i konkurencyjnej</w:t>
            </w:r>
          </w:p>
          <w:p w:rsidR="00567C3E" w:rsidRPr="001534A8" w:rsidRDefault="00567C3E" w:rsidP="00567C3E">
            <w:pPr>
              <w:pStyle w:val="Akapitzlist"/>
              <w:numPr>
                <w:ilvl w:val="0"/>
                <w:numId w:val="33"/>
              </w:numPr>
              <w:spacing w:before="40" w:after="40"/>
              <w:ind w:left="170" w:hanging="170"/>
              <w:jc w:val="both"/>
              <w:rPr>
                <w:rFonts w:ascii="Garamond" w:hAnsi="Garamond"/>
                <w:sz w:val="20"/>
                <w:szCs w:val="20"/>
              </w:rPr>
            </w:pPr>
            <w:r w:rsidRPr="001534A8">
              <w:rPr>
                <w:rFonts w:ascii="Garamond" w:hAnsi="Garamond"/>
                <w:sz w:val="20"/>
                <w:szCs w:val="20"/>
              </w:rPr>
              <w:t>Wzrost sprzyjający włączeniu społecznemu – wspieranie gospodarki charakteryzującej się wysokim poziomem zatrudnienia i zapewniającej spójność gospodarczą, społeczną i terytoria</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celu realizacji priorytetów zdefiniowano siedem inicjatyw przewodnich </w:t>
            </w:r>
            <w:r w:rsidRPr="001534A8">
              <w:rPr>
                <w:rFonts w:ascii="Garamond" w:hAnsi="Garamond"/>
                <w:sz w:val="20"/>
                <w:szCs w:val="20"/>
              </w:rPr>
              <w:lastRenderedPageBreak/>
              <w:t>stanowiących instrumenty realizacji celów Strategii Europa 2020. Strategia ORSG jest zgodna z następującymi inicjatywami: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Europa efektywnie korzystająca z zasobów – to działania na rzecz uniezależnienia wzrostu gospodarczego od wykorzystania zasobów oraz transformacji w kierunku gospodarki niskoemisyjnej w większym stopniu wykorzystującej potencjał, jaki dają odnawialne źródła energii</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Program na rzecz nowych umiejętności i zatrudnienia – to działania na rzecz modernizacji rynków pracy i wzmocnienia pozycji obywateli poprzez rozwój kwalifikacji przez całe życie w celu zwiększenia współczynnika aktywności zawodowej i lepszego dopasowania podaży do popytu na rynku pracy</w:t>
            </w:r>
          </w:p>
          <w:p w:rsidR="00567C3E" w:rsidRPr="001534A8" w:rsidRDefault="00567C3E" w:rsidP="00567C3E">
            <w:pPr>
              <w:pStyle w:val="Akapitzlist"/>
              <w:numPr>
                <w:ilvl w:val="0"/>
                <w:numId w:val="34"/>
              </w:numPr>
              <w:spacing w:before="40" w:after="40"/>
              <w:ind w:left="170" w:hanging="170"/>
              <w:jc w:val="both"/>
              <w:rPr>
                <w:rFonts w:ascii="Garamond" w:hAnsi="Garamond"/>
                <w:sz w:val="20"/>
                <w:szCs w:val="20"/>
              </w:rPr>
            </w:pPr>
            <w:r w:rsidRPr="001534A8">
              <w:rPr>
                <w:rFonts w:ascii="Garamond" w:hAnsi="Garamond"/>
                <w:sz w:val="20"/>
                <w:szCs w:val="20"/>
              </w:rPr>
              <w:t>Europejski program walki z ubóstwem – to działania na rzecz zapewnienia spójności społecznej i terytorialnej, tak aby korzyści płynące ze wzrostu gospodarczego i zatrudnienia były szeroko dostępne, a osoby ubogie i wykluczone społecznie mogły żyć godnie i aktywnie uczestniczyć w życiu społecznym</w:t>
            </w:r>
          </w:p>
        </w:tc>
      </w:tr>
      <w:tr w:rsidR="00567C3E" w:rsidRPr="001534A8" w:rsidTr="00D32FA7">
        <w:trPr>
          <w:trHeight w:val="341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Agenda Terytorialna Unii Europejskiej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Agenda Terytorialna Unii Europejskiej 2020 jest dokumentem, który ma się przyczynić do trwałego wzrostu gospodarczego oraz tworzenia miejsc pracy, jak również do społecznie i ekologicznie zrównoważonego rozwoju poprzez wzmocnienie spójności terytorialnej Europy.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Agendy Terytorialnej UE jest wzmocnienie globalnej konkurencyjności i zrównoważenie wszystkich regionów Europy poprzez zidentyfikowanie i zmobilizowanie ich terytorialnych potencjałów. Służyć temu ma wspieranie policentrycznego rozwoju terytorialnego UE, szczególnie w nowych krajach członkowskich UE. </w:t>
            </w:r>
          </w:p>
          <w:p w:rsidR="00567C3E" w:rsidRDefault="00567C3E" w:rsidP="00D32FA7">
            <w:pPr>
              <w:spacing w:before="40" w:after="40"/>
              <w:jc w:val="both"/>
              <w:rPr>
                <w:rFonts w:ascii="Garamond" w:hAnsi="Garamond"/>
                <w:sz w:val="20"/>
                <w:szCs w:val="20"/>
              </w:rPr>
            </w:pPr>
            <w:r w:rsidRPr="001534A8">
              <w:rPr>
                <w:rFonts w:ascii="Garamond" w:hAnsi="Garamond"/>
                <w:sz w:val="20"/>
                <w:szCs w:val="20"/>
              </w:rPr>
              <w:t xml:space="preserve">Fundamentem Agendy Terytorialnej UE </w:t>
            </w:r>
            <w:r>
              <w:rPr>
                <w:rFonts w:ascii="Garamond" w:hAnsi="Garamond"/>
                <w:sz w:val="20"/>
                <w:szCs w:val="20"/>
              </w:rPr>
              <w:t xml:space="preserve">jest sześć priorytetów terytorialnych (celów). Strategia ORSG wykazuje zgodność z następującymi trzema priorytetami: </w:t>
            </w:r>
          </w:p>
          <w:p w:rsidR="00567C3E" w:rsidRPr="00DF1988" w:rsidRDefault="00567C3E" w:rsidP="00E36E87">
            <w:pPr>
              <w:pStyle w:val="Akapitzlist"/>
              <w:numPr>
                <w:ilvl w:val="0"/>
                <w:numId w:val="141"/>
              </w:numPr>
              <w:spacing w:before="40" w:after="40"/>
              <w:ind w:left="170" w:hanging="170"/>
              <w:jc w:val="both"/>
              <w:rPr>
                <w:rFonts w:ascii="Garamond" w:hAnsi="Garamond"/>
                <w:sz w:val="20"/>
                <w:szCs w:val="20"/>
              </w:rPr>
            </w:pPr>
            <w:r w:rsidRPr="00DF1988">
              <w:rPr>
                <w:rFonts w:ascii="Garamond" w:hAnsi="Garamond"/>
                <w:sz w:val="20"/>
                <w:szCs w:val="20"/>
              </w:rPr>
              <w:t>Rozwój zrównoważonego i policentrycznego systemu miast oraz nowych partnerstw pomiędzy obszarami miejskimi i wiejskimi</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Zapewnienie równego dostępu do infrastruktury i wiedzy</w:t>
            </w:r>
          </w:p>
          <w:p w:rsidR="00567C3E" w:rsidRPr="001534A8" w:rsidRDefault="00567C3E" w:rsidP="00567C3E">
            <w:pPr>
              <w:pStyle w:val="Akapitzlist"/>
              <w:numPr>
                <w:ilvl w:val="0"/>
                <w:numId w:val="39"/>
              </w:numPr>
              <w:spacing w:before="40" w:after="40"/>
              <w:ind w:left="170" w:hanging="170"/>
              <w:jc w:val="both"/>
              <w:rPr>
                <w:rFonts w:ascii="Garamond" w:hAnsi="Garamond"/>
                <w:sz w:val="20"/>
                <w:szCs w:val="20"/>
              </w:rPr>
            </w:pPr>
            <w:r w:rsidRPr="001534A8">
              <w:rPr>
                <w:rFonts w:ascii="Garamond" w:hAnsi="Garamond"/>
                <w:sz w:val="20"/>
                <w:szCs w:val="20"/>
              </w:rPr>
              <w:t>Zrównoważony rozwój, rozsądne zarządzanie oraz ochrona środowiska naturalnego i dziedzictwa kulturowego</w:t>
            </w:r>
          </w:p>
        </w:tc>
      </w:tr>
      <w:tr w:rsidR="00567C3E" w:rsidRPr="001534A8" w:rsidTr="00D32FA7">
        <w:tc>
          <w:tcPr>
            <w:tcW w:w="9062" w:type="dxa"/>
            <w:gridSpan w:val="4"/>
            <w:tcBorders>
              <w:bottom w:val="single" w:sz="4" w:space="0" w:color="FFFFFF" w:themeColor="background1"/>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krajowy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381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Długookresowa Strategia Rozwoju Kraju</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Polska 2030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Trzecia fala nowoczesności</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Długookresowa Strategia Rozwoju Kraju Polska 2030 jest dokumentem  określającym główne trendy, wyzwania i scenariusze rozwoju społeczno-gospodarczego kraju oraz kierunki przestrzennego zagospodarowania kraju, z uwzględnieniem zasady zrównoważonego rozwoju.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Wizja zapisana w Długookresowej Strategii Rozwoju Kraju zakłada, że w roku 2030 polska gospodarka stanie się gospodarką konkurencyjną i innowacyjną. W osiągnięciu takiego stanu ma pomóc realizacja jedenastu celów strategicznych określonych w dokumencie.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wykazuje spójność z następującymi celami Długookresowej Strategii Rozwoju Kraju:</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3 Poprawa dostępności i jakości edukacji na wszystkich etapach oraz podniesienie konkurencyjności nauki</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6 Rozwój kapitału ludzkiego poprzez wzrost zatrudnienia i stworzenie „</w:t>
            </w:r>
            <w:proofErr w:type="spellStart"/>
            <w:r w:rsidRPr="001534A8">
              <w:rPr>
                <w:rFonts w:ascii="Garamond" w:hAnsi="Garamond"/>
                <w:sz w:val="20"/>
                <w:szCs w:val="20"/>
              </w:rPr>
              <w:t>workfare</w:t>
            </w:r>
            <w:proofErr w:type="spellEnd"/>
            <w:r w:rsidRPr="001534A8">
              <w:rPr>
                <w:rFonts w:ascii="Garamond" w:hAnsi="Garamond"/>
                <w:sz w:val="20"/>
                <w:szCs w:val="20"/>
              </w:rPr>
              <w:t xml:space="preserve"> </w:t>
            </w:r>
            <w:proofErr w:type="spellStart"/>
            <w:r w:rsidRPr="001534A8">
              <w:rPr>
                <w:rFonts w:ascii="Garamond" w:hAnsi="Garamond"/>
                <w:sz w:val="20"/>
                <w:szCs w:val="20"/>
              </w:rPr>
              <w:t>state</w:t>
            </w:r>
            <w:proofErr w:type="spellEnd"/>
            <w:r w:rsidRPr="001534A8">
              <w:rPr>
                <w:rFonts w:ascii="Garamond" w:hAnsi="Garamond"/>
                <w:sz w:val="20"/>
                <w:szCs w:val="20"/>
              </w:rPr>
              <w:t>”</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7 Zapewnienie bezpieczeństwa energetycznego oraz ochrona i poprawa stanu środowiska</w:t>
            </w:r>
          </w:p>
          <w:p w:rsidR="00567C3E" w:rsidRPr="001534A8" w:rsidRDefault="00567C3E" w:rsidP="00567C3E">
            <w:pPr>
              <w:pStyle w:val="Akapitzlist"/>
              <w:numPr>
                <w:ilvl w:val="0"/>
                <w:numId w:val="35"/>
              </w:numPr>
              <w:spacing w:before="40" w:after="40"/>
              <w:ind w:left="170" w:hanging="170"/>
              <w:jc w:val="both"/>
              <w:rPr>
                <w:rFonts w:ascii="Garamond" w:hAnsi="Garamond"/>
                <w:sz w:val="20"/>
                <w:szCs w:val="20"/>
              </w:rPr>
            </w:pPr>
            <w:r w:rsidRPr="001534A8">
              <w:rPr>
                <w:rFonts w:ascii="Garamond" w:hAnsi="Garamond"/>
                <w:sz w:val="20"/>
                <w:szCs w:val="20"/>
              </w:rPr>
              <w:t>Cel 8 Wzmocnienie mechanizmów terytorialnego równoważenia  rozwoju dla rozwijania i pełnego wykorzystania potencjałów regionalnych</w:t>
            </w:r>
          </w:p>
        </w:tc>
      </w:tr>
      <w:tr w:rsidR="00567C3E" w:rsidRPr="001534A8" w:rsidTr="00D32FA7">
        <w:trPr>
          <w:trHeight w:val="3215"/>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 xml:space="preserve">Strategia Rozwoju Kraju 2020 </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Aktywne społeczeństwo Konkurencyjna gospodarka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Sprawne państwo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Kraju 2020 ma charakter średniookresowy. Jej głównym celem jest wzmocnienie i wykorzystanie gospodarczych, społecznych i instytucjonalnych potencjałów zapewniających szybszy i zrównoważony rozwój kraju oraz poprawę jakości życia ludności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Strategii Rozwoju Kraju 2020 określono obszary interwencji. Strategia ORSG wpisuje się w dwa obszary strategiczne i odpowiadające im następujące cele:</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 Konkurencyjna gospodarka – Cel II.3. Zwiększenie innowacyjności gospodarki, Cel II.4. Rozwój kapitału ludzkiego, Cel II.6. Bezpieczeństwo energetyczne i środowisko</w:t>
            </w:r>
          </w:p>
          <w:p w:rsidR="00567C3E" w:rsidRPr="001534A8" w:rsidRDefault="00567C3E" w:rsidP="00567C3E">
            <w:pPr>
              <w:pStyle w:val="Akapitzlist"/>
              <w:numPr>
                <w:ilvl w:val="0"/>
                <w:numId w:val="36"/>
              </w:numPr>
              <w:spacing w:before="40" w:after="40"/>
              <w:ind w:left="170" w:hanging="170"/>
              <w:jc w:val="both"/>
              <w:rPr>
                <w:rFonts w:ascii="Garamond" w:hAnsi="Garamond"/>
                <w:sz w:val="20"/>
                <w:szCs w:val="20"/>
              </w:rPr>
            </w:pPr>
            <w:r w:rsidRPr="001534A8">
              <w:rPr>
                <w:rFonts w:ascii="Garamond" w:hAnsi="Garamond"/>
                <w:sz w:val="20"/>
                <w:szCs w:val="20"/>
              </w:rPr>
              <w:t>Obszar strategiczny III. Spójność społeczna i terytorialna – Cel III.1. Integracja społeczna, Cel III.2. Zapewnienie dostępu i określonych standardów usług publicznych, Cel III.3. Wzmocnienie mechanizmów terytorialnego równoważenia rozwoju  oraz integracja przestrzenna dla rozwijania i pełnego wykorzystania potencjałów regionalnych</w:t>
            </w:r>
          </w:p>
        </w:tc>
      </w:tr>
      <w:tr w:rsidR="00567C3E" w:rsidRPr="001534A8" w:rsidTr="00D32FA7">
        <w:trPr>
          <w:trHeight w:val="4239"/>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Krajowa Strategia Rozwoju Regionalnego 2010-2020</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Regiony</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Miasta</w:t>
            </w:r>
          </w:p>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Obszary wiejskie</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Strategia Rozwoju Regionalnego 2010-2020 jest dokumentem określającym cele i sposób działania podmiotów publicznych, a w szczególności rządu i samorządów województw, w odniesieniu do polskiej przestrzeni dla osiągnięcia strategicznych celów rozwoju kraju. Dokument wyznacza cele polityki rozwoju regionalnego, w tym wobec obszarów wiejskich i miejskich, oraz definiuje ich relacje w odniesieniu do innych polityk publicznych o wyraźnym terytorialnym ukierunkowaniu.</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KSRR jest efektywne wykorzystanie specyficznych regionalnych i innych terytorialnych potencjałów rozwojowych dla osiągnięcia celów rozwojowych kraju – wzrostu, zatrudnienia i spójności w horyzoncie długookresowym. Strategia ORSG wpisuje się w następujące cele strategiczne i operacyjne:</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 xml:space="preserve">Cel 1 Wspomaganie wzrostu konkurencyjności regionów – 1.3. Budowa podstaw konkurencyjności województw </w:t>
            </w:r>
          </w:p>
          <w:p w:rsidR="00567C3E" w:rsidRPr="001534A8" w:rsidRDefault="00567C3E" w:rsidP="00567C3E">
            <w:pPr>
              <w:pStyle w:val="Akapitzlist"/>
              <w:numPr>
                <w:ilvl w:val="0"/>
                <w:numId w:val="37"/>
              </w:numPr>
              <w:spacing w:before="40" w:after="40"/>
              <w:ind w:left="170" w:hanging="170"/>
              <w:jc w:val="both"/>
              <w:rPr>
                <w:rFonts w:ascii="Garamond" w:hAnsi="Garamond"/>
                <w:sz w:val="20"/>
                <w:szCs w:val="20"/>
              </w:rPr>
            </w:pPr>
            <w:r w:rsidRPr="001534A8">
              <w:rPr>
                <w:rFonts w:ascii="Garamond" w:hAnsi="Garamond"/>
                <w:sz w:val="20"/>
                <w:szCs w:val="20"/>
              </w:rPr>
              <w:t>Cel 2 Budowanie spójności terytorialnej i przeciwdziałanie marginalizacji obszarów problemowych – 2.2. Wspieranie obszarów wiejskich o najniższym poziomie dostępu mieszkańców do dóbr i usług warunkujących możliwości rozwojowe, 2.3. Restrukturyzacja i rewitalizacja miast i innych obszarów  tracących dotychczasowe funkcje społeczno-gospodarcze</w:t>
            </w:r>
          </w:p>
        </w:tc>
      </w:tr>
      <w:tr w:rsidR="00567C3E" w:rsidRPr="001534A8" w:rsidTr="00D32FA7">
        <w:trPr>
          <w:trHeight w:val="353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Koncepcja Przestrzennego Zagospodarowania Kraju 2030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Koncepcja Przestrzennego Zagospodarowania Kraju 2030 jest najważniejszym krajowym dokumentem strategicznym dotyczącym zagospodarowania przestrzennego kraju. Wizja zapisana w dokumencie zakłada, że Polska w 2030 roku będzie krajem o ugruntowanych warunkach trwałego i zrównoważonego rozwoju, dobrze zagospodarowanym, sprawnie zarządzanym i bezpieczny.</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Celem strategicznym polityki przestrzennego zagospodarowania kraju jest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Jednym z celów operacyjnych, które pozwalają urzeczywistnić realizację wizji KPZK jest 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 Strategia ORSG wpisuje się w powyższy cel</w:t>
            </w:r>
          </w:p>
        </w:tc>
      </w:tr>
      <w:tr w:rsidR="00567C3E" w:rsidRPr="001534A8" w:rsidTr="00D32FA7">
        <w:trPr>
          <w:trHeight w:val="2474"/>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Krajowa Polityka Miejska</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Krajowa Polityka Miejska jest dokumentem, który ma na celu wzmocnienie zdolności miast i obszarów zurbanizowanych do kreowania zrównoważonego rozwoju i tworzenia miejsc pracy oraz poprawa jakości życia mieszkańców</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Uszczegółowieniem głównego celu KPM jest pięć celów szczegółowych, spójnych z celami postawionymi w dokumentach strategicznych Polski oraz Unii Europejskiej, kreujących miasto konkurencyjne, silne, spójne, zwarte i zrównoważone, sprawne. Strategia ORSG jest zgodna z następującymi celami Krajowej Polityki Miejskiej:</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Poprawa konkurencyjności i zdolności głównych ośrodków miejskich do kreowania rozwoju, wzrostu i zatrudnienia</w:t>
            </w:r>
          </w:p>
          <w:p w:rsidR="00567C3E" w:rsidRPr="001534A8" w:rsidRDefault="00567C3E" w:rsidP="00567C3E">
            <w:pPr>
              <w:pStyle w:val="Akapitzlist"/>
              <w:numPr>
                <w:ilvl w:val="0"/>
                <w:numId w:val="38"/>
              </w:numPr>
              <w:spacing w:before="40" w:after="40"/>
              <w:ind w:left="170" w:hanging="170"/>
              <w:jc w:val="both"/>
              <w:rPr>
                <w:rFonts w:ascii="Garamond" w:hAnsi="Garamond"/>
                <w:sz w:val="20"/>
                <w:szCs w:val="20"/>
              </w:rPr>
            </w:pPr>
            <w:r w:rsidRPr="001534A8">
              <w:rPr>
                <w:rFonts w:ascii="Garamond" w:hAnsi="Garamond"/>
                <w:sz w:val="20"/>
                <w:szCs w:val="20"/>
              </w:rPr>
              <w:t>Odbudowa zdolności do rozwoju poprzez rewitalizację zdegradowanych społecznie, ekonomicznie i fizycznie obszarów miejskich</w:t>
            </w:r>
          </w:p>
        </w:tc>
      </w:tr>
      <w:tr w:rsidR="00567C3E" w:rsidRPr="001534A8" w:rsidTr="00D32FA7">
        <w:tc>
          <w:tcPr>
            <w:tcW w:w="9062" w:type="dxa"/>
            <w:gridSpan w:val="4"/>
            <w:tcBorders>
              <w:bottom w:val="single" w:sz="4" w:space="0" w:color="FFFFFF" w:themeColor="background1"/>
            </w:tcBorders>
            <w:shd w:val="clear" w:color="auto" w:fill="824BB0"/>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regionalny</w:t>
            </w:r>
          </w:p>
        </w:tc>
      </w:tr>
      <w:tr w:rsidR="00567C3E" w:rsidRPr="001534A8" w:rsidTr="00D32FA7">
        <w:tc>
          <w:tcPr>
            <w:tcW w:w="2263" w:type="dxa"/>
            <w:gridSpan w:val="2"/>
            <w:tcBorders>
              <w:top w:val="single" w:sz="4" w:space="0" w:color="FFFFFF" w:themeColor="background1"/>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6799" w:type="dxa"/>
            <w:gridSpan w:val="2"/>
            <w:tcBorders>
              <w:top w:val="single" w:sz="4" w:space="0" w:color="FFFFFF" w:themeColor="background1"/>
              <w:lef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rPr>
          <w:trHeight w:val="2962"/>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województwa kujawsko-pomorskiego do roku 2020 – Plan modernizacji 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województwa kujawsko-pomorskiego do roku 2020 identyfikuje specyficzne dla województwa kujawsko-pomorskiego wyzwania, które są związane z koniecznością ograniczenia bezrobocia, poprawą warunków życia ludności wiejskiej, nadaniu impulsów rozwojowych wschodniej części regionu, określeniu założeń polityki miejskiej oraz zbudowania tożsamości marki regionalnej. Określa ona cztery priorytety rozwojowe obszaru, w które wpisuje się Strategia ORSG:</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Konkurencyjna gospodarka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Modernizacja przestrzeni wsi i miast</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Silna metropolia</w:t>
            </w:r>
          </w:p>
          <w:p w:rsidR="00567C3E" w:rsidRPr="001534A8" w:rsidRDefault="00567C3E" w:rsidP="00567C3E">
            <w:pPr>
              <w:pStyle w:val="Akapitzlist"/>
              <w:numPr>
                <w:ilvl w:val="0"/>
                <w:numId w:val="40"/>
              </w:numPr>
              <w:spacing w:before="40" w:after="40"/>
              <w:ind w:left="170" w:hanging="170"/>
              <w:jc w:val="both"/>
              <w:rPr>
                <w:rFonts w:ascii="Garamond" w:hAnsi="Garamond"/>
                <w:sz w:val="20"/>
                <w:szCs w:val="20"/>
              </w:rPr>
            </w:pPr>
            <w:r w:rsidRPr="001534A8">
              <w:rPr>
                <w:rFonts w:ascii="Garamond" w:hAnsi="Garamond"/>
                <w:sz w:val="20"/>
                <w:szCs w:val="20"/>
              </w:rPr>
              <w:t>Nowoczesne społeczeństwo</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to dokument ściśle powiązany z polityką terytorialną, która jest instrumentem realizacji Strategii rozwoju województwa kujawsko-pomorskiego do roku 2020</w:t>
            </w:r>
          </w:p>
          <w:p w:rsidR="00567C3E" w:rsidRPr="001534A8" w:rsidRDefault="00567C3E" w:rsidP="00D32FA7">
            <w:pPr>
              <w:rPr>
                <w:rFonts w:ascii="Garamond" w:hAnsi="Garamond"/>
                <w:sz w:val="20"/>
                <w:szCs w:val="20"/>
              </w:rPr>
            </w:pPr>
            <w:r w:rsidRPr="001534A8">
              <w:rPr>
                <w:rFonts w:ascii="Garamond" w:hAnsi="Garamond"/>
                <w:sz w:val="20"/>
                <w:szCs w:val="20"/>
              </w:rPr>
              <w:t>Zakres działań przewidzianych w Strategii pozostaje w zgodzie także z następującymi Obszarami Strategicznej Interwencji (OSI) w województwie kujawsko –pomorskim:</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Wzrost zatrudnienia – obszar ten obejmuje całe województwo kujawsko-pomorskie – w szczególności interwencji wymagają powiaty położone poza ścisłym jego centrum, czyli także powiat brodnicki</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Polityka miejska i rewitalizacja miast – zasięg przestrzenny obszaru dotyczy 52 miast województwa, czyli także 3 miast wchodzących w skład ORSG (Brodnica, Górzno, Jabłonowo Pomorskie)</w:t>
            </w:r>
          </w:p>
          <w:p w:rsidR="00567C3E" w:rsidRPr="001534A8" w:rsidRDefault="00567C3E" w:rsidP="00E36E87">
            <w:pPr>
              <w:pStyle w:val="Akapitzlist"/>
              <w:numPr>
                <w:ilvl w:val="0"/>
                <w:numId w:val="136"/>
              </w:numPr>
              <w:ind w:left="195" w:hanging="182"/>
              <w:jc w:val="both"/>
              <w:rPr>
                <w:rFonts w:ascii="Garamond" w:hAnsi="Garamond"/>
                <w:sz w:val="20"/>
                <w:szCs w:val="20"/>
              </w:rPr>
            </w:pPr>
            <w:r w:rsidRPr="001534A8">
              <w:rPr>
                <w:rFonts w:ascii="Garamond" w:hAnsi="Garamond"/>
                <w:sz w:val="20"/>
                <w:szCs w:val="20"/>
              </w:rPr>
              <w:t>Przełamanie zapaści społeczno-gospodarczej wschodniej części województwa – obszar obejmuje swoim zasięgiem powiaty położone we wschodniej części województwa, w tym powiat brodnicki</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Regionalna Strategia Innowacji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a zarazem wizją Regionalnej Strategii Innowacji Województwa Kujawsko-Pomorskiego na lata 2014-2020 jest dynamiczny wzrost innowacyjności Regionu Kujawsko-Pomorskiego w czołowej piątce województw w Polsce. Realizacja celu głównego obejmuje trzy cele strategiczne: </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innowacyjnych i kreatywnych postaw społeczności regionu, gdzie priorytetem jest odpowiednie rozwinięcie obszaru kształcenia</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sektora nauki jako zaplecza innowacyjnej gospodarki, cel zakłada ukształtowanie sektora nauki, w taki sposób, aby stanowił  on  efektywne zaplecze dla rozwijanej innowacyjnej gospodarki</w:t>
            </w:r>
          </w:p>
          <w:p w:rsidR="00567C3E" w:rsidRPr="001534A8" w:rsidRDefault="00567C3E" w:rsidP="00567C3E">
            <w:pPr>
              <w:pStyle w:val="Akapitzlist"/>
              <w:numPr>
                <w:ilvl w:val="0"/>
                <w:numId w:val="41"/>
              </w:numPr>
              <w:spacing w:before="40" w:after="40"/>
              <w:ind w:left="170" w:hanging="170"/>
              <w:jc w:val="both"/>
              <w:rPr>
                <w:rFonts w:ascii="Garamond" w:hAnsi="Garamond"/>
                <w:sz w:val="20"/>
                <w:szCs w:val="20"/>
              </w:rPr>
            </w:pPr>
            <w:r w:rsidRPr="001534A8">
              <w:rPr>
                <w:rFonts w:ascii="Garamond" w:hAnsi="Garamond"/>
                <w:sz w:val="20"/>
                <w:szCs w:val="20"/>
              </w:rPr>
              <w:t>Ukształtowanie regionalnej gospodarki opartej na wiedzy i innowacyjności, cel skierowany jest na ukształtowanie regionalnej gospodarki, jako  gospodarki  opartej na wiedzy i innowacyjności, wykorzystującej możliwości wynikające  z  rozwiniętej gospodarki  cyfrowej, bazującej na superszybkiej sieci internetowej nowej generacji</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we wszystkie wymienione wyżej cele</w:t>
            </w:r>
          </w:p>
        </w:tc>
      </w:tr>
      <w:tr w:rsidR="00567C3E" w:rsidRPr="001534A8" w:rsidTr="00D32FA7">
        <w:trPr>
          <w:trHeight w:val="930"/>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Założenia polityki terytorialnej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procesie rozwoju regionalnego województwa kujawsko-pomorskiego istotne znaczenie odgrywa polityka terytorialna oparta na zintegrowanym podejściu do  rozwoju społeczno-gospodarczego z uwzględnieniem relacji funkcjonalno-przestrzennych danego obszaru. Jedną z możliwych form realizacji polityki </w:t>
            </w:r>
            <w:r w:rsidRPr="001534A8">
              <w:rPr>
                <w:rFonts w:ascii="Garamond" w:hAnsi="Garamond"/>
                <w:sz w:val="20"/>
                <w:szCs w:val="20"/>
              </w:rPr>
              <w:lastRenderedPageBreak/>
              <w:t>terytorialnej jest Obszar Rozwoju Społeczno-Gospodarczego obejmujący  terytorium  wyznaczone  granicami powiatu ziemskiego. Strategia ORSG wykazuje zgodność z Założeniami polityki terytorialnej województwa kujawsko-pomorskiego na lata 2014-2020</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lastRenderedPageBreak/>
              <w:t>Regionalny Program Operacyjny Województwa  Kujawsko-Pomorskiego na lata 2014-2020</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Celem głównym RPO WK-P 2014-2020 jest uczynienie województwa kujawsko-pomorskiego konkurencyjnym i innowacyjnym regionem Europy oraz poprawa  jakości życia jego mieszkańców.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ORSG wpisuje się w cele szczegółowe, określone dla następujących osi priorytetowych:</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3 Efektywność energetyczna i gospodarka niskoemisyjna w regionie</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4 Region przyjazny środowisku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6 Solidarne społeczeństwo i konkurencyjne kadry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8 Aktywni na rynku pracy </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Oś Priorytetowa 9 Solidarne społeczeństwo</w:t>
            </w:r>
          </w:p>
          <w:p w:rsidR="00567C3E" w:rsidRPr="001534A8" w:rsidRDefault="00567C3E" w:rsidP="00567C3E">
            <w:pPr>
              <w:pStyle w:val="Akapitzlist"/>
              <w:numPr>
                <w:ilvl w:val="0"/>
                <w:numId w:val="42"/>
              </w:numPr>
              <w:spacing w:before="40" w:after="40"/>
              <w:ind w:left="170" w:hanging="170"/>
              <w:jc w:val="both"/>
              <w:rPr>
                <w:rFonts w:ascii="Garamond" w:hAnsi="Garamond"/>
                <w:sz w:val="20"/>
                <w:szCs w:val="20"/>
              </w:rPr>
            </w:pPr>
            <w:r w:rsidRPr="001534A8">
              <w:rPr>
                <w:rFonts w:ascii="Garamond" w:hAnsi="Garamond"/>
                <w:sz w:val="20"/>
                <w:szCs w:val="20"/>
              </w:rPr>
              <w:t xml:space="preserve">Oś Priorytetowa 10 Innowacyjna edukacja </w:t>
            </w:r>
          </w:p>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Realizacja przedsięwzięć zapisanych w Strategii ORSG przyczyni się do osiągnięcia wskaźników określonych w RPO, a tym samym wpłynie na realizację celów szczegółowych i celu głównego </w:t>
            </w:r>
          </w:p>
        </w:tc>
      </w:tr>
      <w:tr w:rsidR="00567C3E" w:rsidRPr="001534A8" w:rsidTr="00D32FA7">
        <w:trPr>
          <w:trHeight w:val="708"/>
        </w:trPr>
        <w:tc>
          <w:tcPr>
            <w:tcW w:w="2263" w:type="dxa"/>
            <w:gridSpan w:val="2"/>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Zagospodarowania Przestrzennego Województwa Kujawsko-Pomorskiego</w:t>
            </w:r>
          </w:p>
        </w:tc>
        <w:tc>
          <w:tcPr>
            <w:tcW w:w="6799" w:type="dxa"/>
            <w:gridSpan w:val="2"/>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Plan Zagospodarowania Przestrzennego Województwa Kujawsko-Pomorskiego jest podstawowym dokumentem zawierającym zasady polityki rozwoju przestrzennego województwa, które obejmuje swoim zasięgiem obszar powiatu brodnickiego. Strategia ORSG wpisuje się w cel szczegółowy 1 Planu tj. zwiększenie atrakcyjności regionu w wymiarze europejskim jako pochodnej jego walorów przyrodniczych i dziedzictwa kulturowego, wysokich standardów życia mieszkańców, wysoce sprawnych systemów infrastruktury technicznej, dogodnych powiązań ze światem zewnętrznym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4"/>
            <w:tcBorders>
              <w:top w:val="single" w:sz="4" w:space="0" w:color="824BB0"/>
              <w:left w:val="single" w:sz="4" w:space="0" w:color="824BB0"/>
              <w:bottom w:val="single" w:sz="4" w:space="0" w:color="FFFFFF" w:themeColor="background1"/>
              <w:right w:val="single" w:sz="4" w:space="0" w:color="824BB0"/>
            </w:tcBorders>
            <w:shd w:val="clear" w:color="auto" w:fill="824BB0"/>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Poziom lokalny</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FFFFFF" w:themeColor="background1"/>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Jednostka terytorialna</w:t>
            </w:r>
          </w:p>
        </w:tc>
        <w:tc>
          <w:tcPr>
            <w:tcW w:w="1843" w:type="dxa"/>
            <w:gridSpan w:val="2"/>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Dokument strategiczny</w:t>
            </w:r>
          </w:p>
        </w:tc>
        <w:tc>
          <w:tcPr>
            <w:tcW w:w="583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val="restart"/>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Powiat Brodnicki</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Powiatu Brodnickiego na lata 2014-2022</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Powiatu Brodnickiego jest najważniejszym dokumentem strategicznym na poziomie powiatowym, wskazującym główne kierunki jego rozwoju w latach 2014-2022. Zgodnie z głównym  celem dokumentu, w 2022 roku, powiat brodnicki ma być miejscem przyjaznym ludziom, gospodarce i środowisku. Strategia ORSG wykazuje spójność z celem strategicznym oraz celami operacyjnymi Strategia Rozwoju Powiatu Brodnickiego:</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Wysoki standard ochrony zdrowia mieszkańców powiatu</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Dobry stan infrastruktury technicznej</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Powiat atrakcyjny dla mieszkańców i ludzi młodych</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Bezpieczny powiat</w:t>
            </w:r>
          </w:p>
          <w:p w:rsidR="00567C3E" w:rsidRPr="001534A8" w:rsidRDefault="00567C3E" w:rsidP="00567C3E">
            <w:pPr>
              <w:pStyle w:val="Akapitzlist"/>
              <w:numPr>
                <w:ilvl w:val="0"/>
                <w:numId w:val="43"/>
              </w:numPr>
              <w:spacing w:before="40" w:after="40"/>
              <w:ind w:left="170" w:hanging="170"/>
              <w:jc w:val="both"/>
              <w:rPr>
                <w:rFonts w:ascii="Garamond" w:hAnsi="Garamond"/>
                <w:sz w:val="20"/>
                <w:szCs w:val="20"/>
              </w:rPr>
            </w:pPr>
            <w:r w:rsidRPr="001534A8">
              <w:rPr>
                <w:rFonts w:ascii="Garamond" w:hAnsi="Garamond"/>
                <w:sz w:val="20"/>
                <w:szCs w:val="20"/>
              </w:rPr>
              <w:t xml:space="preserve">Partnerska i spójna współpraca samorządów, NGO i innych instytucji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vMerge/>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Brodnickiego Obszaru Funkcjonalnego na lata 2014-2020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W skład Brodnickiego Obszaru Funkcjonalnego wchodzą Miasto Brodnica i Gmina Brodnica oraz silnie powiązane z nim funkcjonalnie gminy: Zbiczno, Bobrowo i Osiek. Strategia Rozwoju BOF zakłada intensywny rozwój gospodarczy i społeczny obszaru. Realizacja działań zapisanych w Strategii ORSG pomoże osiągnąć powyższy cel przyczyniając się do poprawy sytuacji społeczno-gospodarczej w powiecie brodnickim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Bartniczka</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Strategia Rozwoju</w:t>
            </w:r>
          </w:p>
          <w:p w:rsidR="00567C3E" w:rsidRPr="006F31F9" w:rsidRDefault="00567C3E" w:rsidP="00D32FA7">
            <w:pPr>
              <w:spacing w:before="40" w:after="40"/>
              <w:jc w:val="center"/>
              <w:rPr>
                <w:rFonts w:ascii="Garamond" w:hAnsi="Garamond"/>
                <w:sz w:val="20"/>
                <w:szCs w:val="20"/>
              </w:rPr>
            </w:pPr>
            <w:r w:rsidRPr="006F31F9">
              <w:rPr>
                <w:rFonts w:ascii="Garamond" w:hAnsi="Garamond"/>
                <w:sz w:val="20"/>
                <w:szCs w:val="20"/>
              </w:rPr>
              <w:t xml:space="preserve">dla Gminy </w:t>
            </w:r>
            <w:r>
              <w:rPr>
                <w:rFonts w:ascii="Garamond" w:hAnsi="Garamond"/>
                <w:sz w:val="20"/>
                <w:szCs w:val="20"/>
              </w:rPr>
              <w:t>B</w:t>
            </w:r>
            <w:r w:rsidRPr="006F31F9">
              <w:rPr>
                <w:rFonts w:ascii="Garamond" w:hAnsi="Garamond"/>
                <w:sz w:val="20"/>
                <w:szCs w:val="20"/>
              </w:rPr>
              <w:t>artniczka</w:t>
            </w:r>
            <w:r>
              <w:rPr>
                <w:rFonts w:ascii="Garamond" w:hAnsi="Garamond"/>
                <w:sz w:val="20"/>
                <w:szCs w:val="20"/>
              </w:rPr>
              <w:t xml:space="preserve"> </w:t>
            </w:r>
            <w:r w:rsidRPr="006F31F9">
              <w:rPr>
                <w:rFonts w:ascii="Garamond" w:hAnsi="Garamond"/>
                <w:sz w:val="20"/>
                <w:szCs w:val="20"/>
              </w:rPr>
              <w:t xml:space="preserve">na lata </w:t>
            </w:r>
          </w:p>
          <w:p w:rsidR="00567C3E" w:rsidRDefault="00567C3E" w:rsidP="00D32FA7">
            <w:pPr>
              <w:spacing w:before="40" w:after="40"/>
              <w:jc w:val="center"/>
              <w:rPr>
                <w:rFonts w:ascii="Garamond" w:hAnsi="Garamond"/>
                <w:sz w:val="20"/>
                <w:szCs w:val="20"/>
              </w:rPr>
            </w:pPr>
            <w:r w:rsidRPr="006F31F9">
              <w:rPr>
                <w:rFonts w:ascii="Garamond" w:hAnsi="Garamond"/>
                <w:sz w:val="20"/>
                <w:szCs w:val="20"/>
              </w:rPr>
              <w:t>2016</w:t>
            </w:r>
            <w:r>
              <w:rPr>
                <w:rFonts w:ascii="Garamond" w:hAnsi="Garamond"/>
                <w:sz w:val="20"/>
                <w:szCs w:val="20"/>
              </w:rPr>
              <w:t>-</w:t>
            </w:r>
            <w:r w:rsidRPr="006F31F9">
              <w:rPr>
                <w:rFonts w:ascii="Garamond" w:hAnsi="Garamond"/>
                <w:sz w:val="20"/>
                <w:szCs w:val="20"/>
              </w:rPr>
              <w:t>2020</w:t>
            </w:r>
          </w:p>
          <w:p w:rsidR="00567C3E" w:rsidRPr="007B31C4" w:rsidRDefault="00567C3E" w:rsidP="00D32FA7">
            <w:pPr>
              <w:spacing w:before="40" w:after="40"/>
              <w:jc w:val="center"/>
              <w:rPr>
                <w:rFonts w:ascii="Garamond" w:hAnsi="Garamond"/>
                <w:strike/>
                <w:color w:val="FF0000"/>
                <w:sz w:val="20"/>
                <w:szCs w:val="20"/>
              </w:rPr>
            </w:pPr>
            <w:r>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4D3382" w:rsidRDefault="00567C3E" w:rsidP="00D32FA7">
            <w:pPr>
              <w:spacing w:before="40" w:after="40"/>
              <w:jc w:val="both"/>
              <w:rPr>
                <w:rFonts w:ascii="Garamond" w:hAnsi="Garamond"/>
                <w:sz w:val="20"/>
                <w:szCs w:val="20"/>
              </w:rPr>
            </w:pPr>
            <w:r w:rsidRPr="004D3382">
              <w:rPr>
                <w:rFonts w:ascii="Garamond" w:hAnsi="Garamond"/>
                <w:sz w:val="20"/>
                <w:szCs w:val="20"/>
              </w:rPr>
              <w:t xml:space="preserve">Wizja zapisana w Strategii Rozwoju dla Gminy Bartniczka zakłada, że po osiągnięciu celów </w:t>
            </w:r>
            <w:r>
              <w:rPr>
                <w:rFonts w:ascii="Garamond" w:hAnsi="Garamond"/>
                <w:sz w:val="20"/>
                <w:szCs w:val="20"/>
              </w:rPr>
              <w:t>określonych</w:t>
            </w:r>
            <w:r w:rsidRPr="004D3382">
              <w:rPr>
                <w:rFonts w:ascii="Garamond" w:hAnsi="Garamond"/>
                <w:sz w:val="20"/>
                <w:szCs w:val="20"/>
              </w:rPr>
              <w:t xml:space="preserve"> w dokumencie Gmina Bartniczka stanie się obszarem przyjaznym dla mieszkańców, wpierającym lokalnych przedsiębiorców, dbającym o stan środowiska naturalnego i kultywującym miejscowe tradycje i zwyczaje. </w:t>
            </w:r>
          </w:p>
          <w:p w:rsidR="00567C3E" w:rsidRDefault="00567C3E" w:rsidP="00D32FA7">
            <w:pPr>
              <w:spacing w:before="40" w:after="40"/>
              <w:jc w:val="both"/>
              <w:rPr>
                <w:rFonts w:ascii="Garamond" w:hAnsi="Garamond"/>
                <w:sz w:val="20"/>
                <w:szCs w:val="20"/>
              </w:rPr>
            </w:pPr>
            <w:r w:rsidRPr="004D3382">
              <w:rPr>
                <w:rFonts w:ascii="Garamond" w:hAnsi="Garamond"/>
                <w:sz w:val="20"/>
                <w:szCs w:val="20"/>
              </w:rPr>
              <w:t>Strategia ORSG wykazuje spójność ze Strategią Rozwoju dla Gminy Bartniczka na poziomie następujących celów szczegółowych:</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Stworzenie </w:t>
            </w:r>
            <w:r>
              <w:rPr>
                <w:rFonts w:ascii="Garamond" w:hAnsi="Garamond"/>
                <w:sz w:val="20"/>
                <w:szCs w:val="20"/>
              </w:rPr>
              <w:t>warunków</w:t>
            </w:r>
            <w:r w:rsidRPr="004D3382">
              <w:rPr>
                <w:rFonts w:ascii="Garamond" w:hAnsi="Garamond"/>
                <w:sz w:val="20"/>
                <w:szCs w:val="20"/>
              </w:rPr>
              <w:t xml:space="preserve"> dla rozwoju społeczno-zawodowego </w:t>
            </w:r>
            <w:r w:rsidRPr="004D3382">
              <w:rPr>
                <w:rFonts w:ascii="Garamond" w:hAnsi="Garamond"/>
                <w:sz w:val="20"/>
                <w:szCs w:val="20"/>
              </w:rPr>
              <w:lastRenderedPageBreak/>
              <w:t>miejscowej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 xml:space="preserve">Poprawa obsługi mieszkańców w zakresie edukacji, ochrony zdrowia i pomocy </w:t>
            </w:r>
            <w:r>
              <w:rPr>
                <w:rFonts w:ascii="Garamond" w:hAnsi="Garamond"/>
                <w:sz w:val="20"/>
                <w:szCs w:val="20"/>
              </w:rPr>
              <w:t>społecznej</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Poprawa warunków  dla inwestorów  chcących prowadzić działalność gospodarczą na terenie Gminy</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Rozwój lokalnej przedsiębiorczości i poprawa warunków rozwoju dla rolnictwa</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4D3382">
              <w:rPr>
                <w:rFonts w:ascii="Garamond" w:hAnsi="Garamond"/>
                <w:sz w:val="20"/>
                <w:szCs w:val="20"/>
              </w:rPr>
              <w:t>Rozbudowa i modernizacja infrastruktury technicznej w celu zaspokojenia podstawowych potrzeb ludności</w:t>
            </w:r>
          </w:p>
          <w:p w:rsidR="00567C3E" w:rsidRDefault="00567C3E" w:rsidP="00E36E87">
            <w:pPr>
              <w:pStyle w:val="Akapitzlist"/>
              <w:numPr>
                <w:ilvl w:val="0"/>
                <w:numId w:val="142"/>
              </w:numPr>
              <w:spacing w:before="40" w:after="40"/>
              <w:ind w:left="170" w:hanging="170"/>
              <w:jc w:val="both"/>
              <w:rPr>
                <w:rFonts w:ascii="Garamond" w:hAnsi="Garamond"/>
                <w:sz w:val="20"/>
                <w:szCs w:val="20"/>
              </w:rPr>
            </w:pPr>
            <w:r w:rsidRPr="00345F91">
              <w:rPr>
                <w:rFonts w:ascii="Garamond" w:hAnsi="Garamond"/>
                <w:sz w:val="20"/>
                <w:szCs w:val="20"/>
              </w:rPr>
              <w:t>Wykorzystanie potencjału przyrodniczego Gminy Bartniczka</w:t>
            </w:r>
          </w:p>
          <w:p w:rsidR="00567C3E" w:rsidRPr="00345F91" w:rsidRDefault="00567C3E" w:rsidP="00E36E87">
            <w:pPr>
              <w:pStyle w:val="Akapitzlist"/>
              <w:numPr>
                <w:ilvl w:val="0"/>
                <w:numId w:val="142"/>
              </w:numPr>
              <w:spacing w:before="40" w:after="40"/>
              <w:ind w:left="170" w:hanging="170"/>
              <w:jc w:val="both"/>
              <w:rPr>
                <w:rFonts w:ascii="Garamond" w:hAnsi="Garamond"/>
                <w:sz w:val="20"/>
                <w:szCs w:val="20"/>
              </w:rPr>
            </w:pPr>
            <w:r>
              <w:rPr>
                <w:rFonts w:ascii="Garamond" w:hAnsi="Garamond"/>
                <w:sz w:val="20"/>
                <w:szCs w:val="20"/>
              </w:rPr>
              <w:t>I</w:t>
            </w:r>
            <w:r w:rsidRPr="00345F91">
              <w:rPr>
                <w:rFonts w:ascii="Garamond" w:hAnsi="Garamond"/>
                <w:sz w:val="20"/>
                <w:szCs w:val="20"/>
              </w:rPr>
              <w:t>nwestycje w odnawialne źródła energii i poprawa sprawności energetycznej budynków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lastRenderedPageBreak/>
              <w:t>Bobrowo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Strategia Rozwoju Gminy Bobrowo 2011-2020</w:t>
            </w: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Głównym celem Strategii Rozwoju Gminy Bobrowo jest poprawa poziomu życia mieszkańców poprzez rozwój społeczno-gospodarczy. W dokumencie określono cztery cele strategiczne, z którymi Strategia ORSG wykazuje spójność:</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infrastruktury technicznej i ochrona środowiska</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edukacji, kultury, turystyki i sportu</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Rozwój gospodarczy</w:t>
            </w:r>
          </w:p>
          <w:p w:rsidR="00567C3E" w:rsidRPr="001534A8" w:rsidRDefault="00567C3E" w:rsidP="00E36E87">
            <w:pPr>
              <w:pStyle w:val="Akapitzlist"/>
              <w:numPr>
                <w:ilvl w:val="0"/>
                <w:numId w:val="44"/>
              </w:numPr>
              <w:spacing w:before="40" w:after="40"/>
              <w:ind w:left="170" w:hanging="170"/>
              <w:jc w:val="both"/>
              <w:rPr>
                <w:rFonts w:ascii="Garamond" w:hAnsi="Garamond"/>
                <w:sz w:val="20"/>
                <w:szCs w:val="20"/>
              </w:rPr>
            </w:pPr>
            <w:r w:rsidRPr="001534A8">
              <w:rPr>
                <w:rFonts w:ascii="Garamond" w:hAnsi="Garamond"/>
                <w:sz w:val="20"/>
                <w:szCs w:val="20"/>
              </w:rPr>
              <w:t>Poprawa jakości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g.m</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2302C8" w:rsidRDefault="00567C3E" w:rsidP="00D32FA7">
            <w:pPr>
              <w:spacing w:before="40" w:after="40"/>
              <w:jc w:val="center"/>
              <w:rPr>
                <w:rFonts w:ascii="Garamond" w:hAnsi="Garamond"/>
                <w:sz w:val="20"/>
                <w:szCs w:val="20"/>
              </w:rPr>
            </w:pPr>
            <w:r w:rsidRPr="002302C8">
              <w:rPr>
                <w:rFonts w:ascii="Garamond" w:hAnsi="Garamond"/>
                <w:sz w:val="20"/>
                <w:szCs w:val="20"/>
              </w:rPr>
              <w:t>Strategia Rozwoju Gmi</w:t>
            </w:r>
            <w:r>
              <w:rPr>
                <w:rFonts w:ascii="Garamond" w:hAnsi="Garamond"/>
                <w:sz w:val="20"/>
                <w:szCs w:val="20"/>
              </w:rPr>
              <w:t>ny Miasta Brodnicy na lata 2015</w:t>
            </w:r>
            <w:r w:rsidRPr="002302C8">
              <w:rPr>
                <w:rFonts w:ascii="Garamond" w:hAnsi="Garamond"/>
                <w:sz w:val="20"/>
                <w:szCs w:val="20"/>
              </w:rPr>
              <w:t>-2022</w:t>
            </w:r>
          </w:p>
        </w:tc>
        <w:tc>
          <w:tcPr>
            <w:tcW w:w="5835" w:type="dxa"/>
            <w:tcBorders>
              <w:top w:val="single" w:sz="4" w:space="0" w:color="824BB0"/>
              <w:left w:val="single" w:sz="4" w:space="0" w:color="824BB0"/>
              <w:bottom w:val="single" w:sz="4" w:space="0" w:color="824BB0"/>
              <w:right w:val="single" w:sz="4" w:space="0" w:color="824BB0"/>
            </w:tcBorders>
          </w:tcPr>
          <w:p w:rsidR="00567C3E" w:rsidRPr="00F44727" w:rsidRDefault="00567C3E" w:rsidP="00D32FA7">
            <w:pPr>
              <w:spacing w:before="40" w:after="40"/>
              <w:jc w:val="both"/>
              <w:rPr>
                <w:rFonts w:ascii="Garamond" w:hAnsi="Garamond"/>
                <w:sz w:val="20"/>
                <w:szCs w:val="20"/>
              </w:rPr>
            </w:pPr>
            <w:r w:rsidRPr="00F44727">
              <w:rPr>
                <w:rFonts w:ascii="Garamond" w:hAnsi="Garamond"/>
                <w:sz w:val="20"/>
                <w:szCs w:val="20"/>
              </w:rPr>
              <w:t xml:space="preserve">Zgodnie z wizją rozwoju miasta zawartą w dokumencie, Brodnica powinna stać się wiodącym ośrodkiem </w:t>
            </w:r>
            <w:proofErr w:type="spellStart"/>
            <w:r w:rsidRPr="00F44727">
              <w:rPr>
                <w:rFonts w:ascii="Garamond" w:hAnsi="Garamond"/>
                <w:sz w:val="20"/>
                <w:szCs w:val="20"/>
              </w:rPr>
              <w:t>subregionalnym</w:t>
            </w:r>
            <w:proofErr w:type="spellEnd"/>
            <w:r w:rsidRPr="00F44727">
              <w:rPr>
                <w:rFonts w:ascii="Garamond" w:hAnsi="Garamond"/>
                <w:sz w:val="20"/>
                <w:szCs w:val="20"/>
              </w:rPr>
              <w:t xml:space="preserve"> o dynamicznym rozwoju gospodarczym i społecznym. Strategia ORSG wykazuje zgodność z następującymi celami Strategii Rozwoju Miasta Brodnica:</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Wzrost przedsiębiorczości i rozwój lokalnego rynku pracy</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Poprawa jakości życia mieszkańców</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rozwoju kultury, turystyki, sportu i rekreacji</w:t>
            </w:r>
          </w:p>
          <w:p w:rsidR="00567C3E" w:rsidRPr="00F44727" w:rsidRDefault="00567C3E" w:rsidP="00E36E87">
            <w:pPr>
              <w:pStyle w:val="Akapitzlist"/>
              <w:numPr>
                <w:ilvl w:val="0"/>
                <w:numId w:val="48"/>
              </w:numPr>
              <w:spacing w:before="40" w:after="40"/>
              <w:ind w:left="170" w:hanging="170"/>
              <w:jc w:val="both"/>
              <w:rPr>
                <w:rFonts w:ascii="Garamond" w:hAnsi="Garamond"/>
                <w:sz w:val="20"/>
                <w:szCs w:val="20"/>
              </w:rPr>
            </w:pPr>
            <w:r w:rsidRPr="00F44727">
              <w:rPr>
                <w:rFonts w:ascii="Garamond" w:hAnsi="Garamond"/>
                <w:sz w:val="20"/>
                <w:szCs w:val="20"/>
              </w:rPr>
              <w:t>Wspieranie edukacji oraz rozwój społeczeństwa informacyjnego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 xml:space="preserve">Brodnica </w:t>
            </w:r>
            <w:proofErr w:type="spellStart"/>
            <w:r w:rsidRPr="001534A8">
              <w:rPr>
                <w:rFonts w:ascii="Garamond" w:hAnsi="Garamond" w:cs="Arial"/>
                <w:sz w:val="20"/>
                <w:szCs w:val="20"/>
              </w:rPr>
              <w:t>g.w</w:t>
            </w:r>
            <w:proofErr w:type="spellEnd"/>
            <w:r w:rsidRPr="001534A8">
              <w:rPr>
                <w:rFonts w:ascii="Garamond" w:hAnsi="Garamond" w:cs="Arial"/>
                <w:sz w:val="20"/>
                <w:szCs w:val="20"/>
              </w:rPr>
              <w:t>.</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Strategia Rozwoju Gminy Brodnica na lata 2016-2025</w:t>
            </w:r>
          </w:p>
          <w:p w:rsidR="00567C3E" w:rsidRPr="00967322" w:rsidRDefault="00567C3E" w:rsidP="00D32FA7">
            <w:pPr>
              <w:spacing w:before="40" w:after="40"/>
              <w:jc w:val="center"/>
              <w:rPr>
                <w:rFonts w:ascii="Garamond" w:hAnsi="Garamond"/>
                <w:sz w:val="20"/>
                <w:szCs w:val="20"/>
              </w:rPr>
            </w:pPr>
            <w:r w:rsidRPr="00967322">
              <w:rPr>
                <w:rFonts w:ascii="Garamond" w:hAnsi="Garamond"/>
                <w:sz w:val="20"/>
                <w:szCs w:val="20"/>
              </w:rPr>
              <w:t xml:space="preserve">(Projekt) </w:t>
            </w:r>
          </w:p>
        </w:tc>
        <w:tc>
          <w:tcPr>
            <w:tcW w:w="5835" w:type="dxa"/>
            <w:tcBorders>
              <w:top w:val="single" w:sz="4" w:space="0" w:color="824BB0"/>
              <w:left w:val="single" w:sz="4" w:space="0" w:color="824BB0"/>
              <w:bottom w:val="single" w:sz="4" w:space="0" w:color="824BB0"/>
              <w:right w:val="single" w:sz="4" w:space="0" w:color="824BB0"/>
            </w:tcBorders>
          </w:tcPr>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 xml:space="preserve">Celem strategicznym dokumentu jest solidarne społeczeństwo korzystające z dobrej infrastruktury społecznej i technicznej. </w:t>
            </w:r>
          </w:p>
          <w:p w:rsidR="00567C3E" w:rsidRPr="00213C32" w:rsidRDefault="00567C3E" w:rsidP="00D32FA7">
            <w:pPr>
              <w:spacing w:before="40" w:after="40"/>
              <w:jc w:val="both"/>
              <w:rPr>
                <w:rFonts w:ascii="Garamond" w:hAnsi="Garamond"/>
                <w:sz w:val="20"/>
                <w:szCs w:val="20"/>
              </w:rPr>
            </w:pPr>
            <w:r w:rsidRPr="00213C32">
              <w:rPr>
                <w:rFonts w:ascii="Garamond" w:hAnsi="Garamond"/>
                <w:sz w:val="20"/>
                <w:szCs w:val="20"/>
              </w:rPr>
              <w:t>W Strategii Rozwoju Gminy Brodnica określono następujące cele operacyjne, z którymi spójność wykazuje Strategia ORSG:</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Nowoczesna oświata i wychowanie przedszkolne</w:t>
            </w:r>
          </w:p>
          <w:p w:rsidR="00567C3E" w:rsidRPr="00213C32" w:rsidRDefault="00567C3E" w:rsidP="00E36E87">
            <w:pPr>
              <w:pStyle w:val="Akapitzlist"/>
              <w:numPr>
                <w:ilvl w:val="0"/>
                <w:numId w:val="47"/>
              </w:numPr>
              <w:spacing w:before="40" w:after="40"/>
              <w:ind w:left="170" w:hanging="170"/>
              <w:jc w:val="both"/>
              <w:rPr>
                <w:rFonts w:ascii="Garamond" w:hAnsi="Garamond"/>
                <w:sz w:val="20"/>
                <w:szCs w:val="20"/>
              </w:rPr>
            </w:pPr>
            <w:r w:rsidRPr="00213C32">
              <w:rPr>
                <w:rFonts w:ascii="Garamond" w:hAnsi="Garamond"/>
                <w:sz w:val="20"/>
                <w:szCs w:val="20"/>
              </w:rPr>
              <w:t xml:space="preserve">Większa dbałość o zachowanie i ochronę dziedzictwa kulturowego </w:t>
            </w:r>
          </w:p>
          <w:p w:rsidR="00567C3E" w:rsidRPr="00213C32" w:rsidRDefault="00567C3E" w:rsidP="00E36E87">
            <w:pPr>
              <w:pStyle w:val="Akapitzlist"/>
              <w:numPr>
                <w:ilvl w:val="0"/>
                <w:numId w:val="47"/>
              </w:numPr>
              <w:spacing w:before="40" w:after="40"/>
              <w:ind w:left="170" w:hanging="170"/>
              <w:jc w:val="both"/>
              <w:rPr>
                <w:rFonts w:ascii="Garamond" w:hAnsi="Garamond"/>
                <w:strike/>
                <w:sz w:val="20"/>
                <w:szCs w:val="20"/>
              </w:rPr>
            </w:pPr>
            <w:r w:rsidRPr="00213C32">
              <w:rPr>
                <w:rFonts w:ascii="Garamond" w:hAnsi="Garamond"/>
                <w:sz w:val="20"/>
                <w:szCs w:val="20"/>
              </w:rPr>
              <w:t>Aktywne i solidarne społeczeństwo</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Górzno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Strategia Rozwoju Miasta i Gminy Górzno na lata 2015-2022</w:t>
            </w:r>
          </w:p>
          <w:p w:rsidR="00567C3E" w:rsidRPr="004812B0" w:rsidRDefault="00567C3E" w:rsidP="00D32FA7">
            <w:pPr>
              <w:spacing w:before="40" w:after="40"/>
              <w:jc w:val="center"/>
              <w:rPr>
                <w:rFonts w:ascii="Garamond" w:hAnsi="Garamond"/>
                <w:sz w:val="20"/>
                <w:szCs w:val="20"/>
              </w:rPr>
            </w:pPr>
            <w:r w:rsidRPr="004812B0">
              <w:rPr>
                <w:rFonts w:ascii="Garamond" w:hAnsi="Garamond"/>
                <w:sz w:val="20"/>
                <w:szCs w:val="20"/>
              </w:rPr>
              <w:t>(Projekt)</w:t>
            </w:r>
          </w:p>
        </w:tc>
        <w:tc>
          <w:tcPr>
            <w:tcW w:w="5835" w:type="dxa"/>
            <w:tcBorders>
              <w:top w:val="single" w:sz="4" w:space="0" w:color="824BB0"/>
              <w:left w:val="single" w:sz="4" w:space="0" w:color="824BB0"/>
              <w:bottom w:val="single" w:sz="4" w:space="0" w:color="824BB0"/>
              <w:right w:val="single" w:sz="4" w:space="0" w:color="824BB0"/>
            </w:tcBorders>
          </w:tcPr>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Wizja Strategii Rozwoju Miasta i Gminy Górzno brzmi następująco: Miasto i Gmina zintegrowanych, aktywnych mieszkańców, innowacji i rozwiniętej turystyki promującej tradycje i kulturę naszego regionu. Dobra pozycja ekonomiczna miasta i gminy.</w:t>
            </w:r>
          </w:p>
          <w:p w:rsidR="00567C3E" w:rsidRPr="001747F4" w:rsidRDefault="00567C3E" w:rsidP="00D32FA7">
            <w:pPr>
              <w:spacing w:before="40" w:after="40"/>
              <w:jc w:val="both"/>
              <w:rPr>
                <w:rFonts w:ascii="Garamond" w:hAnsi="Garamond"/>
                <w:sz w:val="20"/>
                <w:szCs w:val="20"/>
              </w:rPr>
            </w:pPr>
            <w:r w:rsidRPr="001747F4">
              <w:rPr>
                <w:rFonts w:ascii="Garamond" w:hAnsi="Garamond"/>
                <w:sz w:val="20"/>
                <w:szCs w:val="20"/>
              </w:rPr>
              <w:t>Strategia ORSG jest spójna z następującymi celami strategicznymi zapisanymi w Strategii: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przyjaznym miastem zapewniającym wysoką jakość życia mieszkańców</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miejscem dla inwestycji innowacyjnych</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Górzno ważnym punktem turystycznym na mapie Polski</w:t>
            </w:r>
          </w:p>
          <w:p w:rsidR="00567C3E" w:rsidRPr="001747F4" w:rsidRDefault="00567C3E" w:rsidP="00E36E87">
            <w:pPr>
              <w:pStyle w:val="Akapitzlist"/>
              <w:numPr>
                <w:ilvl w:val="0"/>
                <w:numId w:val="46"/>
              </w:numPr>
              <w:spacing w:before="40" w:after="40"/>
              <w:ind w:left="170" w:hanging="170"/>
              <w:jc w:val="both"/>
              <w:rPr>
                <w:rFonts w:ascii="Garamond" w:hAnsi="Garamond"/>
                <w:sz w:val="20"/>
                <w:szCs w:val="20"/>
              </w:rPr>
            </w:pPr>
            <w:r w:rsidRPr="001747F4">
              <w:rPr>
                <w:rFonts w:ascii="Garamond" w:hAnsi="Garamond"/>
                <w:sz w:val="20"/>
                <w:szCs w:val="20"/>
              </w:rPr>
              <w:t xml:space="preserve">Górzno przyjazne środowisku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cs="Arial"/>
                <w:sz w:val="20"/>
                <w:szCs w:val="20"/>
              </w:rPr>
            </w:pPr>
            <w:r w:rsidRPr="001534A8">
              <w:rPr>
                <w:rFonts w:ascii="Garamond" w:hAnsi="Garamond" w:cs="Arial"/>
                <w:sz w:val="20"/>
                <w:szCs w:val="20"/>
              </w:rPr>
              <w:t>Jabłonowo Pomorskie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jc w:val="center"/>
              <w:rPr>
                <w:rFonts w:ascii="Garamond" w:hAnsi="Garamond"/>
                <w:sz w:val="20"/>
                <w:szCs w:val="20"/>
              </w:rPr>
            </w:pPr>
            <w:r w:rsidRPr="001534A8">
              <w:rPr>
                <w:rFonts w:ascii="Garamond" w:hAnsi="Garamond"/>
                <w:sz w:val="20"/>
                <w:szCs w:val="20"/>
              </w:rPr>
              <w:t>Strategia Rozwoju Miasta i Gminy Jabłonowo Pomorskie na lata 2015-2025</w:t>
            </w:r>
          </w:p>
          <w:p w:rsidR="00567C3E" w:rsidRPr="001534A8" w:rsidRDefault="00567C3E" w:rsidP="00D32FA7">
            <w:pPr>
              <w:rPr>
                <w:rFonts w:ascii="Garamond" w:hAnsi="Garamond"/>
                <w:sz w:val="20"/>
                <w:szCs w:val="20"/>
              </w:rPr>
            </w:pPr>
          </w:p>
        </w:tc>
        <w:tc>
          <w:tcPr>
            <w:tcW w:w="5835" w:type="dxa"/>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Strategia Rozwoju Miasta i Gminy Jabłonowo Pomorskie na lata 2015-2025 jest podstawowym i najważniejszym dokumentem samorządu gminy, określającym obszary, cele i kierunki interwencji polityki rozwoju. Zgodnie z zawartą w niej wizją, Miasto i Gmina Jabłonowo Pomorskie ma stać się miejscem dobrze zarządzanym, przyjaznym dla mieszkańców, otwartym na rozwój i współpracę oraz zapewniającym atrakcyjne warunki życia. Strategia ORSG wykazuje zgodność z następującymi celami dokumentu:</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Rozwój przedsiębiorczości i  nowoczesnego rolnictwa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Rozwinięta infrastruktura  techniczna i efektywna ochrona środowiska</w:t>
            </w:r>
          </w:p>
          <w:p w:rsidR="00567C3E" w:rsidRPr="001534A8" w:rsidRDefault="00567C3E" w:rsidP="00E36E87">
            <w:pPr>
              <w:pStyle w:val="Akapitzlist"/>
              <w:numPr>
                <w:ilvl w:val="0"/>
                <w:numId w:val="126"/>
              </w:numPr>
              <w:spacing w:before="40" w:after="40"/>
              <w:ind w:left="170" w:hanging="170"/>
              <w:jc w:val="both"/>
              <w:rPr>
                <w:rFonts w:ascii="Garamond" w:hAnsi="Garamond"/>
                <w:sz w:val="20"/>
                <w:szCs w:val="20"/>
              </w:rPr>
            </w:pPr>
            <w:r w:rsidRPr="001534A8">
              <w:rPr>
                <w:rFonts w:ascii="Garamond" w:hAnsi="Garamond"/>
                <w:sz w:val="20"/>
                <w:szCs w:val="20"/>
              </w:rPr>
              <w:t>Poprawa warunków życia mieszkańców</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FFFFFF" w:themeColor="background1"/>
            </w:tcBorders>
            <w:shd w:val="clear" w:color="auto" w:fill="B1059D"/>
            <w:vAlign w:val="center"/>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lastRenderedPageBreak/>
              <w:t xml:space="preserve">Dokument strategiczny </w:t>
            </w:r>
          </w:p>
        </w:tc>
        <w:tc>
          <w:tcPr>
            <w:tcW w:w="6799" w:type="dxa"/>
            <w:gridSpan w:val="2"/>
            <w:tcBorders>
              <w:top w:val="single" w:sz="4" w:space="0" w:color="824BB0"/>
              <w:left w:val="single" w:sz="4" w:space="0" w:color="FFFFFF" w:themeColor="background1"/>
              <w:bottom w:val="single" w:sz="4" w:space="0" w:color="824BB0"/>
              <w:right w:val="single" w:sz="4" w:space="0" w:color="824BB0"/>
            </w:tcBorders>
            <w:shd w:val="clear" w:color="auto" w:fill="B1059D"/>
          </w:tcPr>
          <w:p w:rsidR="00567C3E" w:rsidRPr="001534A8" w:rsidRDefault="00567C3E" w:rsidP="00D32FA7">
            <w:pPr>
              <w:spacing w:before="40" w:after="40"/>
              <w:jc w:val="center"/>
              <w:rPr>
                <w:rFonts w:ascii="Garamond" w:hAnsi="Garamond"/>
                <w:b/>
                <w:color w:val="FFFFFF" w:themeColor="background1"/>
                <w:sz w:val="20"/>
                <w:szCs w:val="20"/>
              </w:rPr>
            </w:pPr>
            <w:r w:rsidRPr="001534A8">
              <w:rPr>
                <w:rFonts w:ascii="Garamond" w:hAnsi="Garamond"/>
                <w:b/>
                <w:color w:val="FFFFFF" w:themeColor="background1"/>
                <w:sz w:val="20"/>
                <w:szCs w:val="20"/>
              </w:rPr>
              <w:t>Główne cele i założenia dokumentu oraz zgodność Strategii ORSG z dokumentem strategicznym</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Lokalny/Gminny Program Rewitalizacji</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W Strategii ORSG powinny znaleźć się projekty z zakresu rewitalizacji społeczno-gospodarczej wynikające z Lokalnych/Gminnych Programów Rewitalizacji. Finansowanie działań rewitalizacyjnych ze środków przeznaczonych na politykę terytorialną będzie możliwe w sytuacji, gdy projekty będą wynikać bezpośrednio z Lokalnych/Gminnych Programów Rewitalizacji. Jednostki samorządu terytorialnego, które zdecydują się prowadzić procesy rewitalizacyjne, po pojawieniu się szczegółowych wytycznych dotyczących rewitalizacji, będą zobowiązane do opracowania wyżej wymienionych dokumentów </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Gospodarki Niskoemisyjnej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Jednostki samorządu terytorialnego, które w ramach Strategii ORSG chcą realizować projekty w ramach PI 4c Wspieranie efektywności energetycznej, inteligentnego zarządzania energią i wykorzystywania odnawialnych źródeł energii w budynkach publicznych, i w sektorze mieszkaniowym oraz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Gospodarki Niskoemisyjnej. Gminy, które planują przeprowadzić działania finansowane w ramach wyżej wymienionych priorytetów inwestycyjnych rozpoczęły prace nad dokumentem. Stan prac nad poszczególnymi dokumentami został opisany w tabeli nr 34.</w:t>
            </w:r>
          </w:p>
        </w:tc>
      </w:tr>
      <w:tr w:rsidR="00567C3E" w:rsidRPr="001534A8" w:rsidTr="00D32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567C3E" w:rsidRPr="001534A8" w:rsidRDefault="00567C3E" w:rsidP="00D32FA7">
            <w:pPr>
              <w:spacing w:before="40" w:after="40"/>
              <w:jc w:val="center"/>
              <w:rPr>
                <w:rFonts w:ascii="Garamond" w:hAnsi="Garamond"/>
                <w:sz w:val="20"/>
                <w:szCs w:val="20"/>
              </w:rPr>
            </w:pPr>
            <w:r w:rsidRPr="001534A8">
              <w:rPr>
                <w:rFonts w:ascii="Garamond" w:hAnsi="Garamond"/>
                <w:sz w:val="20"/>
                <w:szCs w:val="20"/>
              </w:rPr>
              <w:t>Plan Mobilności Miejskiej</w:t>
            </w:r>
          </w:p>
        </w:tc>
        <w:tc>
          <w:tcPr>
            <w:tcW w:w="6799" w:type="dxa"/>
            <w:gridSpan w:val="2"/>
            <w:tcBorders>
              <w:top w:val="single" w:sz="4" w:space="0" w:color="824BB0"/>
              <w:left w:val="single" w:sz="4" w:space="0" w:color="824BB0"/>
              <w:bottom w:val="single" w:sz="4" w:space="0" w:color="824BB0"/>
              <w:right w:val="single" w:sz="4" w:space="0" w:color="824BB0"/>
            </w:tcBorders>
          </w:tcPr>
          <w:p w:rsidR="00567C3E" w:rsidRPr="001534A8" w:rsidRDefault="00567C3E" w:rsidP="00D32FA7">
            <w:pPr>
              <w:spacing w:before="40" w:after="40"/>
              <w:jc w:val="both"/>
              <w:rPr>
                <w:rFonts w:ascii="Garamond" w:hAnsi="Garamond"/>
                <w:sz w:val="20"/>
                <w:szCs w:val="20"/>
              </w:rPr>
            </w:pPr>
            <w:r w:rsidRPr="001534A8">
              <w:rPr>
                <w:rFonts w:ascii="Garamond" w:hAnsi="Garamond"/>
                <w:sz w:val="20"/>
                <w:szCs w:val="20"/>
              </w:rPr>
              <w:t xml:space="preserve">Jednostki samorządu terytorialnego, które w ramach Strategii ORSG chcą realizować projekty w ramach PI 4e Promowanie strategii niskoemisyjnych dla wszystkich rodzajów terytoriów, w szczególności dla obszarów miejskich, w tym wspieranie zrównoważonej multimodalnej mobilności miejskiej i działań adaptacyjnych mających oddziaływanie łagodzące na zmiany klimatu są zobligowane do opracowania Planu Mobilności Miejskiej. Gminy, które planują przeprowadzić działania finansowane w ramach tego priorytetu rozważają opracowanie dokumentu    </w:t>
            </w:r>
          </w:p>
        </w:tc>
      </w:tr>
    </w:tbl>
    <w:p w:rsidR="00567C3E" w:rsidRPr="001534A8" w:rsidRDefault="00567C3E" w:rsidP="00567C3E">
      <w:pPr>
        <w:spacing w:before="120"/>
        <w:rPr>
          <w:rFonts w:ascii="Garamond" w:hAnsi="Garamond"/>
          <w:sz w:val="20"/>
        </w:rPr>
      </w:pPr>
      <w:r w:rsidRPr="001534A8">
        <w:rPr>
          <w:rFonts w:ascii="Garamond" w:hAnsi="Garamond"/>
          <w:sz w:val="20"/>
        </w:rPr>
        <w:t xml:space="preserve">Źródło: </w:t>
      </w:r>
      <w:r w:rsidRPr="001534A8">
        <w:rPr>
          <w:rFonts w:ascii="Garamond" w:hAnsi="Garamond"/>
          <w:i/>
          <w:sz w:val="20"/>
        </w:rPr>
        <w:t>Opracowanie własne</w:t>
      </w:r>
      <w:r w:rsidRPr="001534A8">
        <w:rPr>
          <w:rFonts w:ascii="Garamond" w:hAnsi="Garamond"/>
          <w:sz w:val="20"/>
        </w:rPr>
        <w:t>.</w:t>
      </w:r>
    </w:p>
    <w:p w:rsidR="00567C3E" w:rsidRPr="001534A8" w:rsidRDefault="00567C3E" w:rsidP="00567C3E">
      <w:pPr>
        <w:spacing w:after="0"/>
        <w:jc w:val="both"/>
        <w:rPr>
          <w:rFonts w:ascii="Garamond" w:hAnsi="Garamond"/>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ST2"/>
      </w:pPr>
      <w:bookmarkStart w:id="97" w:name="_Toc419705528"/>
      <w:r w:rsidRPr="001534A8">
        <w:lastRenderedPageBreak/>
        <w:t>Priorytety inwestycyjne</w:t>
      </w:r>
      <w:bookmarkEnd w:id="97"/>
      <w:r w:rsidRPr="001534A8">
        <w:t xml:space="preserve"> </w:t>
      </w:r>
    </w:p>
    <w:p w:rsidR="00567C3E" w:rsidRPr="001534A8" w:rsidRDefault="00567C3E" w:rsidP="00567C3E">
      <w:pPr>
        <w:pStyle w:val="S1"/>
        <w:numPr>
          <w:ilvl w:val="0"/>
          <w:numId w:val="0"/>
        </w:numPr>
        <w:tabs>
          <w:tab w:val="left" w:pos="709"/>
        </w:tabs>
        <w:spacing w:before="240" w:after="240"/>
        <w:rPr>
          <w:b w:val="0"/>
          <w:color w:val="auto"/>
          <w:sz w:val="22"/>
        </w:rPr>
      </w:pPr>
      <w:r w:rsidRPr="001534A8">
        <w:rPr>
          <w:b w:val="0"/>
          <w:color w:val="auto"/>
          <w:sz w:val="22"/>
        </w:rPr>
        <w:tab/>
        <w:t xml:space="preserve">Priorytety inwestycyjne dla ORSG Powiatu Brodnickiego stanowią uszczegółowienie celów, które zostały zdefiniowane w rozdziale 3 niniejszej Strategii i są one zgodne z ustalonymi kierunkami rozwoju. </w:t>
      </w:r>
    </w:p>
    <w:p w:rsidR="00567C3E" w:rsidRPr="001534A8" w:rsidRDefault="00567C3E" w:rsidP="00567C3E">
      <w:pPr>
        <w:pStyle w:val="S1"/>
        <w:numPr>
          <w:ilvl w:val="0"/>
          <w:numId w:val="0"/>
        </w:numPr>
        <w:tabs>
          <w:tab w:val="left" w:pos="709"/>
        </w:tabs>
        <w:spacing w:before="120" w:after="240"/>
        <w:rPr>
          <w:b w:val="0"/>
          <w:color w:val="auto"/>
          <w:sz w:val="22"/>
        </w:rPr>
      </w:pPr>
      <w:r w:rsidRPr="001534A8">
        <w:rPr>
          <w:b w:val="0"/>
          <w:color w:val="auto"/>
          <w:sz w:val="22"/>
        </w:rPr>
        <w:tab/>
        <w:t>Poniższa tabela przedstawia logikę interwencji strategicznej, wskazującą metody realizacji celów, zasięg terytorialny oraz mierzalne rezultaty realizacji poszczególnych działań w postaci planowanych do osiągnięcia wskaźników.</w:t>
      </w:r>
    </w:p>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1906" w:h="16838"/>
          <w:pgMar w:top="1417" w:right="1417" w:bottom="1417" w:left="1417" w:header="708" w:footer="708" w:gutter="0"/>
          <w:cols w:space="708"/>
          <w:docGrid w:linePitch="360"/>
        </w:sectPr>
      </w:pPr>
    </w:p>
    <w:p w:rsidR="00567C3E" w:rsidRPr="001534A8" w:rsidRDefault="00567C3E" w:rsidP="00567C3E">
      <w:pPr>
        <w:pStyle w:val="T"/>
        <w:rPr>
          <w:sz w:val="16"/>
          <w:szCs w:val="16"/>
        </w:rPr>
      </w:pPr>
      <w:r w:rsidRPr="001534A8">
        <w:rPr>
          <w:color w:val="auto"/>
        </w:rPr>
        <w:lastRenderedPageBreak/>
        <w:tab/>
      </w:r>
      <w:bookmarkStart w:id="98" w:name="_Toc430872025"/>
      <w:r w:rsidRPr="001534A8">
        <w:t xml:space="preserve">Tabela </w:t>
      </w:r>
      <w:r>
        <w:t>43</w:t>
      </w:r>
      <w:r w:rsidRPr="001534A8">
        <w:t>. Logika interwencji strategicznej</w:t>
      </w:r>
      <w:bookmarkEnd w:id="98"/>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534"/>
        <w:gridCol w:w="2551"/>
        <w:gridCol w:w="2410"/>
        <w:gridCol w:w="2410"/>
        <w:gridCol w:w="1984"/>
        <w:gridCol w:w="4255"/>
      </w:tblGrid>
      <w:tr w:rsidR="00567C3E" w:rsidRPr="001534A8" w:rsidTr="00D32FA7">
        <w:tc>
          <w:tcPr>
            <w:tcW w:w="534" w:type="dxa"/>
            <w:tcBorders>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L.p.</w:t>
            </w:r>
          </w:p>
        </w:tc>
        <w:tc>
          <w:tcPr>
            <w:tcW w:w="2551"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ind w:left="360" w:hanging="360"/>
              <w:jc w:val="center"/>
              <w:rPr>
                <w:color w:val="FFFFFF" w:themeColor="background1"/>
                <w:sz w:val="16"/>
                <w:szCs w:val="16"/>
              </w:rPr>
            </w:pPr>
            <w:r w:rsidRPr="001534A8">
              <w:rPr>
                <w:color w:val="FFFFFF" w:themeColor="background1"/>
                <w:sz w:val="16"/>
                <w:szCs w:val="16"/>
              </w:rPr>
              <w:t>Zidentyfikowany</w:t>
            </w:r>
          </w:p>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problem</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Cel</w:t>
            </w:r>
          </w:p>
        </w:tc>
        <w:tc>
          <w:tcPr>
            <w:tcW w:w="2410"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Sposób realizacji celu</w:t>
            </w:r>
          </w:p>
        </w:tc>
        <w:tc>
          <w:tcPr>
            <w:tcW w:w="1984"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Zasięg terytorialny działań</w:t>
            </w:r>
          </w:p>
        </w:tc>
        <w:tc>
          <w:tcPr>
            <w:tcW w:w="4255" w:type="dxa"/>
            <w:tcBorders>
              <w:left w:val="single" w:sz="4" w:space="0" w:color="FFFFFF" w:themeColor="background1"/>
            </w:tcBorders>
            <w:shd w:val="clear" w:color="auto" w:fill="824BB0"/>
            <w:vAlign w:val="center"/>
          </w:tcPr>
          <w:p w:rsidR="00567C3E" w:rsidRPr="001534A8" w:rsidRDefault="00567C3E" w:rsidP="00D32FA7">
            <w:pPr>
              <w:pStyle w:val="S1"/>
              <w:numPr>
                <w:ilvl w:val="0"/>
                <w:numId w:val="0"/>
              </w:numPr>
              <w:spacing w:after="0" w:line="240" w:lineRule="auto"/>
              <w:jc w:val="center"/>
              <w:rPr>
                <w:color w:val="FFFFFF" w:themeColor="background1"/>
                <w:sz w:val="16"/>
                <w:szCs w:val="16"/>
              </w:rPr>
            </w:pPr>
            <w:r w:rsidRPr="001534A8">
              <w:rPr>
                <w:color w:val="FFFFFF" w:themeColor="background1"/>
                <w:sz w:val="16"/>
                <w:szCs w:val="16"/>
              </w:rPr>
              <w:t>Wskaźniki celu</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Niska efektywność energetyczna budynków użyteczności publicznej i wielorodzinnych oraz niewielkie wykorzystania odnawialnych źródeł energii</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Wspieranie niskoemisyjnej gospodarki</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Kompleksowa modernizacja energetyczna budynków użyteczności publicznej, w tym z wykorzystaniem instalacji OZE</w:t>
            </w:r>
          </w:p>
        </w:tc>
        <w:tc>
          <w:tcPr>
            <w:tcW w:w="1984" w:type="dxa"/>
            <w:vAlign w:val="center"/>
          </w:tcPr>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 xml:space="preserve">Brzozie </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Górzno</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5"/>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Liczba zmodernizowan</w:t>
            </w:r>
            <w:r w:rsidR="00AC0592">
              <w:rPr>
                <w:b w:val="0"/>
                <w:color w:val="auto"/>
                <w:sz w:val="16"/>
                <w:szCs w:val="16"/>
              </w:rPr>
              <w:t xml:space="preserve">ych energetycznie budynków – </w:t>
            </w:r>
            <w:r w:rsidR="00636BDE">
              <w:rPr>
                <w:b w:val="0"/>
                <w:color w:val="auto"/>
                <w:sz w:val="16"/>
                <w:szCs w:val="16"/>
              </w:rPr>
              <w:t>46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2</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ilość ścieżek rowerowych i chodników</w:t>
            </w:r>
          </w:p>
          <w:p w:rsidR="00567C3E" w:rsidRPr="001534A8" w:rsidRDefault="00567C3E" w:rsidP="00D32FA7">
            <w:pPr>
              <w:pStyle w:val="S1"/>
              <w:numPr>
                <w:ilvl w:val="0"/>
                <w:numId w:val="0"/>
              </w:numPr>
              <w:spacing w:after="0" w:line="240" w:lineRule="auto"/>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Rozbudowa ciągów pieszo-rowerowych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Budowa ścieżek rowerowych</w:t>
            </w:r>
          </w:p>
        </w:tc>
        <w:tc>
          <w:tcPr>
            <w:tcW w:w="1984"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Bobrowo</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Osiek</w:t>
            </w:r>
          </w:p>
        </w:tc>
        <w:tc>
          <w:tcPr>
            <w:tcW w:w="4255" w:type="dxa"/>
            <w:vAlign w:val="center"/>
          </w:tcPr>
          <w:p w:rsidR="00567C3E" w:rsidRPr="001534A8" w:rsidRDefault="00567C3E" w:rsidP="00E36E87">
            <w:pPr>
              <w:pStyle w:val="S1"/>
              <w:numPr>
                <w:ilvl w:val="0"/>
                <w:numId w:val="45"/>
              </w:numPr>
              <w:spacing w:after="0" w:line="240" w:lineRule="auto"/>
              <w:ind w:left="170" w:hanging="170"/>
              <w:rPr>
                <w:b w:val="0"/>
                <w:color w:val="auto"/>
                <w:sz w:val="16"/>
                <w:szCs w:val="16"/>
              </w:rPr>
            </w:pPr>
            <w:r w:rsidRPr="001534A8">
              <w:rPr>
                <w:b w:val="0"/>
                <w:color w:val="auto"/>
                <w:sz w:val="16"/>
                <w:szCs w:val="16"/>
              </w:rPr>
              <w:t>Długość wybudowanych ścieżek rowerowych – 9,6 km</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3</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poziom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taboru komunikacji miejskiej oraz niedostatecznie rozwinięta polityka parkingowa</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 poprawa jakości infrastruktury technicznej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Modernizacja taboru komunikacji miejskiej oraz wprowadzenie nowych rozwiązań polityki parkingowej</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Zakup taboru komunikacji miejskiej oraz działania związane z polityką parkingową </w:t>
            </w:r>
          </w:p>
        </w:tc>
        <w:tc>
          <w:tcPr>
            <w:tcW w:w="1984" w:type="dxa"/>
            <w:vAlign w:val="center"/>
          </w:tcPr>
          <w:p w:rsidR="00567C3E" w:rsidRPr="001534A8" w:rsidRDefault="00567C3E" w:rsidP="00E36E87">
            <w:pPr>
              <w:pStyle w:val="S1"/>
              <w:numPr>
                <w:ilvl w:val="0"/>
                <w:numId w:val="116"/>
              </w:numPr>
              <w:spacing w:after="0" w:line="240" w:lineRule="auto"/>
              <w:ind w:left="170" w:hanging="170"/>
              <w:rPr>
                <w:b w:val="0"/>
                <w:color w:val="auto"/>
                <w:sz w:val="16"/>
                <w:szCs w:val="16"/>
              </w:rPr>
            </w:pPr>
            <w:r w:rsidRPr="001534A8">
              <w:rPr>
                <w:b w:val="0"/>
                <w:color w:val="auto"/>
                <w:sz w:val="16"/>
                <w:szCs w:val="16"/>
              </w:rPr>
              <w:t>Miasto Brodnica</w:t>
            </w:r>
          </w:p>
        </w:tc>
        <w:tc>
          <w:tcPr>
            <w:tcW w:w="4255" w:type="dxa"/>
            <w:vAlign w:val="center"/>
          </w:tcPr>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 xml:space="preserve">Liczba zakupionych </w:t>
            </w:r>
            <w:proofErr w:type="spellStart"/>
            <w:r w:rsidRPr="001534A8">
              <w:rPr>
                <w:rFonts w:ascii="Garamond" w:hAnsi="Garamond" w:cs="Arial"/>
                <w:sz w:val="16"/>
                <w:szCs w:val="16"/>
              </w:rPr>
              <w:t>parkomatów</w:t>
            </w:r>
            <w:proofErr w:type="spellEnd"/>
            <w:r w:rsidRPr="001534A8">
              <w:rPr>
                <w:rFonts w:ascii="Garamond" w:hAnsi="Garamond" w:cs="Arial"/>
                <w:sz w:val="16"/>
                <w:szCs w:val="16"/>
              </w:rPr>
              <w:t xml:space="preserve"> – 20 szt.</w:t>
            </w:r>
          </w:p>
          <w:p w:rsidR="00567C3E" w:rsidRPr="001534A8" w:rsidRDefault="00567C3E" w:rsidP="00E36E87">
            <w:pPr>
              <w:pStyle w:val="Akapitzlist"/>
              <w:numPr>
                <w:ilvl w:val="0"/>
                <w:numId w:val="103"/>
              </w:numPr>
              <w:spacing w:after="0"/>
              <w:ind w:left="170" w:hanging="170"/>
              <w:jc w:val="both"/>
              <w:rPr>
                <w:rFonts w:ascii="Garamond" w:hAnsi="Garamond" w:cs="Arial"/>
                <w:sz w:val="16"/>
                <w:szCs w:val="16"/>
              </w:rPr>
            </w:pPr>
            <w:r w:rsidRPr="001534A8">
              <w:rPr>
                <w:rFonts w:ascii="Garamond" w:hAnsi="Garamond" w:cs="Arial"/>
                <w:sz w:val="16"/>
                <w:szCs w:val="16"/>
              </w:rPr>
              <w:t>Liczba zakupionych elektronicznych  tablic informacyjnych – 2 szt.</w:t>
            </w:r>
          </w:p>
          <w:p w:rsidR="00567C3E" w:rsidRPr="001534A8" w:rsidRDefault="00567C3E" w:rsidP="00E36E87">
            <w:pPr>
              <w:pStyle w:val="Akapitzlist"/>
              <w:numPr>
                <w:ilvl w:val="0"/>
                <w:numId w:val="104"/>
              </w:numPr>
              <w:spacing w:after="0" w:line="240" w:lineRule="auto"/>
              <w:ind w:left="170" w:hanging="170"/>
              <w:jc w:val="both"/>
              <w:rPr>
                <w:rFonts w:ascii="Garamond" w:hAnsi="Garamond" w:cs="Arial"/>
                <w:color w:val="000000"/>
                <w:sz w:val="16"/>
                <w:szCs w:val="16"/>
              </w:rPr>
            </w:pPr>
            <w:r w:rsidRPr="001534A8">
              <w:rPr>
                <w:rFonts w:ascii="Garamond" w:hAnsi="Garamond" w:cs="Arial"/>
                <w:color w:val="000000"/>
                <w:sz w:val="16"/>
                <w:szCs w:val="16"/>
              </w:rPr>
              <w:t>Przyrost liczby osób korzystających z komunikacji miejskiej – 190 000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4</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Zły stan techniczny części zabytków i obiektów kultury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zabytków oraz tworzenie i modernizacja instytucji kultury</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Projekty infrastrukturalne realizowane w instytucjach kultury</w:t>
            </w:r>
          </w:p>
        </w:tc>
        <w:tc>
          <w:tcPr>
            <w:tcW w:w="1984" w:type="dxa"/>
            <w:vAlign w:val="center"/>
          </w:tcPr>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Bartniczka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17"/>
              </w:numPr>
              <w:spacing w:after="0" w:line="240" w:lineRule="auto"/>
              <w:ind w:left="170" w:hanging="170"/>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Liczba instytucji kultury objętych wsparciem – 2 szt.</w:t>
            </w:r>
          </w:p>
          <w:p w:rsidR="00567C3E" w:rsidRPr="001534A8" w:rsidRDefault="00567C3E" w:rsidP="00E36E87">
            <w:pPr>
              <w:pStyle w:val="S1"/>
              <w:numPr>
                <w:ilvl w:val="0"/>
                <w:numId w:val="114"/>
              </w:numPr>
              <w:spacing w:after="0" w:line="240" w:lineRule="auto"/>
              <w:ind w:left="170" w:hanging="170"/>
              <w:rPr>
                <w:b w:val="0"/>
                <w:color w:val="auto"/>
                <w:sz w:val="16"/>
                <w:szCs w:val="16"/>
              </w:rPr>
            </w:pPr>
            <w:r w:rsidRPr="001534A8">
              <w:rPr>
                <w:b w:val="0"/>
                <w:color w:val="auto"/>
                <w:sz w:val="16"/>
                <w:szCs w:val="16"/>
              </w:rPr>
              <w:t xml:space="preserve">Liczba zabytków nieruchomych objętych wsparciem – 1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5</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Niewystarczający stopień innowacyjności i konkurencyjności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ochrona dziedzictwa kulturowego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innowacyjnej i konkurencyjnej gospodarki</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Ochrona dziedzictwa kulturowego regionu i promocja walorów przyrodniczych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 xml:space="preserve">Ożywienie </w:t>
            </w:r>
            <w:proofErr w:type="spellStart"/>
            <w:r w:rsidRPr="001534A8">
              <w:rPr>
                <w:b w:val="0"/>
                <w:color w:val="auto"/>
                <w:sz w:val="16"/>
                <w:szCs w:val="16"/>
              </w:rPr>
              <w:t>społeczno</w:t>
            </w:r>
            <w:proofErr w:type="spellEnd"/>
            <w:r w:rsidRPr="001534A8">
              <w:rPr>
                <w:b w:val="0"/>
                <w:color w:val="auto"/>
                <w:sz w:val="16"/>
                <w:szCs w:val="16"/>
              </w:rPr>
              <w:t xml:space="preserve"> – gospodarcze obszarów miejskich poprzez aktywizację osób zamieszkujących obszary problemowe oraz poprawę uczestnictwa tych osób w życiu społecznym i gospodarczym</w:t>
            </w:r>
          </w:p>
        </w:tc>
        <w:tc>
          <w:tcPr>
            <w:tcW w:w="1984" w:type="dxa"/>
            <w:vAlign w:val="center"/>
          </w:tcPr>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Brodnica</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Miasto Górzno</w:t>
            </w:r>
          </w:p>
          <w:p w:rsidR="00567C3E" w:rsidRPr="001534A8" w:rsidRDefault="00567C3E" w:rsidP="00E36E87">
            <w:pPr>
              <w:pStyle w:val="S1"/>
              <w:numPr>
                <w:ilvl w:val="0"/>
                <w:numId w:val="128"/>
              </w:numPr>
              <w:spacing w:after="0" w:line="240" w:lineRule="auto"/>
              <w:ind w:left="170" w:hanging="170"/>
              <w:jc w:val="left"/>
              <w:rPr>
                <w:b w:val="0"/>
                <w:color w:val="auto"/>
                <w:sz w:val="16"/>
                <w:szCs w:val="16"/>
              </w:rPr>
            </w:pPr>
            <w:r w:rsidRPr="001534A8">
              <w:rPr>
                <w:b w:val="0"/>
                <w:color w:val="auto"/>
                <w:sz w:val="16"/>
                <w:szCs w:val="16"/>
              </w:rPr>
              <w:t>Jabłonowo Pomorskie</w:t>
            </w:r>
          </w:p>
        </w:tc>
        <w:tc>
          <w:tcPr>
            <w:tcW w:w="4255" w:type="dxa"/>
            <w:vAlign w:val="center"/>
          </w:tcPr>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Otwarta przestrzeń otworzona lub rekultywowana na obszarach miejskich – 53 745 m2</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osób objętych projektem – 510 osób</w:t>
            </w:r>
          </w:p>
          <w:p w:rsidR="00567C3E" w:rsidRPr="001534A8" w:rsidRDefault="00567C3E" w:rsidP="00E36E87">
            <w:pPr>
              <w:pStyle w:val="Akapitzlist"/>
              <w:numPr>
                <w:ilvl w:val="0"/>
                <w:numId w:val="129"/>
              </w:numPr>
              <w:spacing w:after="0"/>
              <w:ind w:left="170" w:hanging="170"/>
              <w:jc w:val="both"/>
              <w:rPr>
                <w:rFonts w:ascii="Garamond" w:hAnsi="Garamond"/>
                <w:sz w:val="16"/>
                <w:szCs w:val="16"/>
              </w:rPr>
            </w:pPr>
            <w:r w:rsidRPr="001534A8">
              <w:rPr>
                <w:rFonts w:ascii="Garamond" w:hAnsi="Garamond"/>
                <w:sz w:val="16"/>
                <w:szCs w:val="16"/>
              </w:rPr>
              <w:t>Liczba obiektów infrastruktury zlokalizowanych na rewitalizowanych obszarach – 5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6</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Niedostateczne wyposażenie </w:t>
            </w:r>
            <w:r w:rsidRPr="001534A8">
              <w:rPr>
                <w:color w:val="auto"/>
                <w:sz w:val="16"/>
                <w:szCs w:val="16"/>
              </w:rPr>
              <w:lastRenderedPageBreak/>
              <w:t>placówek kształcenia zawodowego w sprzęt dydaktyczny</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 xml:space="preserve">Poprawa jakości kształcenie </w:t>
            </w:r>
            <w:r w:rsidRPr="001534A8">
              <w:rPr>
                <w:color w:val="auto"/>
                <w:sz w:val="16"/>
                <w:szCs w:val="16"/>
              </w:rPr>
              <w:lastRenderedPageBreak/>
              <w:t>poprzez wyposażenie placówek kształcenia zawodowego w odpowiedni sprzęt</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Rozwój infrastruktury edukacyjnej i szkoleniowej szkół prowadzących kształcenie zawodowe i ustawiczne</w:t>
            </w:r>
          </w:p>
        </w:tc>
        <w:tc>
          <w:tcPr>
            <w:tcW w:w="1984" w:type="dxa"/>
            <w:vAlign w:val="center"/>
          </w:tcPr>
          <w:p w:rsidR="00567C3E" w:rsidRPr="001534A8" w:rsidRDefault="00567C3E" w:rsidP="00E36E87">
            <w:pPr>
              <w:pStyle w:val="S1"/>
              <w:numPr>
                <w:ilvl w:val="0"/>
                <w:numId w:val="121"/>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Liczba miejsc w infrastrukturze kształcenia zawodowego – 17 osób</w:t>
            </w:r>
          </w:p>
          <w:p w:rsidR="00567C3E" w:rsidRPr="001534A8" w:rsidRDefault="00567C3E" w:rsidP="00E36E87">
            <w:pPr>
              <w:pStyle w:val="S1"/>
              <w:numPr>
                <w:ilvl w:val="0"/>
                <w:numId w:val="119"/>
              </w:numPr>
              <w:spacing w:after="0" w:line="240" w:lineRule="auto"/>
              <w:ind w:left="170" w:hanging="170"/>
              <w:rPr>
                <w:b w:val="0"/>
                <w:color w:val="auto"/>
                <w:sz w:val="16"/>
                <w:szCs w:val="16"/>
              </w:rPr>
            </w:pPr>
            <w:r w:rsidRPr="001534A8">
              <w:rPr>
                <w:b w:val="0"/>
                <w:color w:val="auto"/>
                <w:sz w:val="16"/>
                <w:szCs w:val="16"/>
              </w:rPr>
              <w:t xml:space="preserve">Liczba obiektów infrastruktury jednostek organizacyjnych systemu oświaty – 8 szt.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7</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Obniżony stopień upowszechniania edukacji przedszkolnej, niedostosowanie techniczne obiektów przedszkolnych oraz braki w ich wyposażeniu</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strike/>
                <w:color w:val="auto"/>
                <w:sz w:val="16"/>
                <w:szCs w:val="16"/>
              </w:rPr>
            </w:pPr>
            <w:r w:rsidRPr="001534A8">
              <w:rPr>
                <w:color w:val="auto"/>
                <w:sz w:val="16"/>
                <w:szCs w:val="16"/>
              </w:rPr>
              <w:t>Upowszechnianie edukacji przedszkolnej poprzez modernizację i doposażenie obiektów przedszkolnych</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Wsparcie istniejących placówek wychowania przedszkolnego w zakresie generowania nowych miejsc przedszkolnych oraz poprawy jakości świadczenia usług edukacyjnych</w:t>
            </w:r>
          </w:p>
        </w:tc>
        <w:tc>
          <w:tcPr>
            <w:tcW w:w="1984" w:type="dxa"/>
            <w:vAlign w:val="center"/>
          </w:tcPr>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Brodnica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Jabłonowo Pomorskie</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Świedziebnia</w:t>
            </w:r>
          </w:p>
          <w:p w:rsidR="00567C3E" w:rsidRPr="001534A8" w:rsidRDefault="00567C3E" w:rsidP="00E36E87">
            <w:pPr>
              <w:pStyle w:val="S1"/>
              <w:numPr>
                <w:ilvl w:val="0"/>
                <w:numId w:val="118"/>
              </w:numPr>
              <w:spacing w:after="0" w:line="240" w:lineRule="auto"/>
              <w:ind w:left="170" w:hanging="170"/>
              <w:rPr>
                <w:b w:val="0"/>
                <w:color w:val="auto"/>
                <w:sz w:val="16"/>
                <w:szCs w:val="16"/>
              </w:rPr>
            </w:pPr>
            <w:r w:rsidRPr="001534A8">
              <w:rPr>
                <w:b w:val="0"/>
                <w:color w:val="auto"/>
                <w:sz w:val="16"/>
                <w:szCs w:val="16"/>
              </w:rPr>
              <w:t>Zbiczno</w:t>
            </w:r>
          </w:p>
        </w:tc>
        <w:tc>
          <w:tcPr>
            <w:tcW w:w="4255" w:type="dxa"/>
            <w:vAlign w:val="center"/>
          </w:tcPr>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Odsetek dzieci w wieku 3-4 lata objętych wychowaniem przedszkolnym – 50% (gm. Brodnica)</w:t>
            </w:r>
          </w:p>
          <w:p w:rsidR="00567C3E" w:rsidRPr="001534A8" w:rsidRDefault="00567C3E" w:rsidP="00E36E87">
            <w:pPr>
              <w:pStyle w:val="S1"/>
              <w:numPr>
                <w:ilvl w:val="0"/>
                <w:numId w:val="120"/>
              </w:numPr>
              <w:spacing w:after="0" w:line="240" w:lineRule="auto"/>
              <w:ind w:left="170" w:hanging="170"/>
              <w:rPr>
                <w:b w:val="0"/>
                <w:color w:val="auto"/>
                <w:sz w:val="16"/>
                <w:szCs w:val="16"/>
              </w:rPr>
            </w:pPr>
            <w:r w:rsidRPr="001534A8">
              <w:rPr>
                <w:b w:val="0"/>
                <w:color w:val="auto"/>
                <w:sz w:val="16"/>
                <w:szCs w:val="16"/>
              </w:rPr>
              <w:t>Liczba miejsc w infrastrukturze przedszkolnej – 175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8</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Niewystarczająca oferta zajęć pozalekcyjnych dla uczniów oraz kursów i szkoleń podnoszących kwalifikacje nauczycieli w zakresie rozwijania kompetencji kluczowych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Nowoczesna oferta edukacyjna odpowiadająca potrzebom rynku pracy</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Realizacja działań, ukierunkowanych na rozwijanie kompetencji kluczowych w zakresie TIK, nauk</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matematyczno-przyrodniczych, języków obcych, kreatywności, innowacyjności i pracy zespołowej</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Podniesienie kompetencji lub kwalifikacji nauczycieli oraz pracowników pedagogicznych,</w:t>
            </w: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ukierunkowane na rozwój kompetencji kluczowych uczniów i indywidualnego podejścia do ucznia</w:t>
            </w:r>
          </w:p>
          <w:p w:rsidR="00567C3E" w:rsidRPr="001534A8" w:rsidRDefault="00567C3E" w:rsidP="00D32FA7">
            <w:pPr>
              <w:pStyle w:val="S1"/>
              <w:numPr>
                <w:ilvl w:val="0"/>
                <w:numId w:val="0"/>
              </w:numPr>
              <w:spacing w:after="0" w:line="240" w:lineRule="auto"/>
              <w:jc w:val="center"/>
              <w:rPr>
                <w:b w:val="0"/>
                <w:color w:val="auto"/>
                <w:sz w:val="16"/>
                <w:szCs w:val="16"/>
              </w:rPr>
            </w:pPr>
          </w:p>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Działania w zakresie wyposażenia/doposażenia szkół w nowoczesny sprzęt i materiały dydaktyczne</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uczniów, którzy nabyli kompetencje kluczowe po opuszczeniu programu – 2 105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 xml:space="preserve">Liczba nauczycieli, którzy uzyskali kwalifikacje lub nabyli kompetencje po opuszczeniu programu – 376 osób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i placówek systemu oświaty wykorzystujących sprzęt TIK do prowadzenia zajęć edukacyjnych – 20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rPr>
            </w:pPr>
            <w:r w:rsidRPr="001534A8">
              <w:rPr>
                <w:rFonts w:ascii="Garamond" w:hAnsi="Garamond"/>
                <w:sz w:val="16"/>
              </w:rPr>
              <w:t>Liczba szkół, w których pracownie przedmiotowe wykorzystują doposażenie do prowadzenia zajęć edukacyjnych – 19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dzieci objętych w ramach programu dodatkowymi zajęciami zwiększającymi ich szanse edukacyjne w edukacji przedszkolnej – 25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nauczycieli objętych wsparciem w zakresie TIK w ramach programu – 105 osób</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 xml:space="preserve">Liczba nauczycieli objętych wsparciem w programie – 139 osoby </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uczniów objętych wsparciem w zakresie rozwijania kompetencji kluczowych w programie – 13 183 osoby</w:t>
            </w:r>
          </w:p>
          <w:p w:rsidR="00567C3E" w:rsidRPr="001534A8" w:rsidRDefault="00567C3E" w:rsidP="00E36E87">
            <w:pPr>
              <w:pStyle w:val="Akapitzlist"/>
              <w:numPr>
                <w:ilvl w:val="0"/>
                <w:numId w:val="122"/>
              </w:numPr>
              <w:spacing w:after="0" w:line="23" w:lineRule="atLeast"/>
              <w:ind w:left="170" w:hanging="170"/>
              <w:jc w:val="both"/>
              <w:rPr>
                <w:rFonts w:ascii="Garamond" w:hAnsi="Garamond"/>
                <w:sz w:val="16"/>
                <w:szCs w:val="16"/>
              </w:rPr>
            </w:pPr>
            <w:r w:rsidRPr="001534A8">
              <w:rPr>
                <w:rFonts w:ascii="Garamond" w:hAnsi="Garamond"/>
                <w:sz w:val="16"/>
                <w:szCs w:val="16"/>
              </w:rPr>
              <w:t>Liczba szkół i placówek systemu oświaty wyposażonych w ramach programu w sprzęt TIK do prowadzenia zajęć edukacyjnych – 13 szt.</w:t>
            </w:r>
          </w:p>
          <w:p w:rsidR="00567C3E" w:rsidRPr="001534A8" w:rsidRDefault="00567C3E" w:rsidP="00E36E87">
            <w:pPr>
              <w:pStyle w:val="Akapitzlist"/>
              <w:numPr>
                <w:ilvl w:val="0"/>
                <w:numId w:val="122"/>
              </w:numPr>
              <w:spacing w:after="0" w:line="23" w:lineRule="atLeast"/>
              <w:ind w:left="170" w:hanging="170"/>
              <w:jc w:val="both"/>
              <w:rPr>
                <w:rFonts w:ascii="Garamond" w:hAnsi="Garamond"/>
                <w:b/>
                <w:sz w:val="16"/>
                <w:szCs w:val="16"/>
              </w:rPr>
            </w:pPr>
            <w:r w:rsidRPr="001534A8">
              <w:rPr>
                <w:rFonts w:ascii="Garamond" w:hAnsi="Garamond"/>
                <w:sz w:val="16"/>
                <w:szCs w:val="16"/>
              </w:rPr>
              <w:t>Liczba szkół, których pracownie przedmiotowe zostały doposażone w programie – 16 szt.</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9</w:t>
            </w:r>
          </w:p>
        </w:tc>
        <w:tc>
          <w:tcPr>
            <w:tcW w:w="2551"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Niepełne dopasowanie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Niedostatecznie rozwinięte doradztwo edukacyjno-zawodowe</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Niewystarczający stopień dopasowania szkolnictwa zawodowego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Zbyt mała oferta staży i praktyk zawodowych</w:t>
            </w:r>
          </w:p>
          <w:p w:rsidR="00567C3E" w:rsidRPr="001534A8" w:rsidRDefault="00567C3E" w:rsidP="00D32FA7">
            <w:pPr>
              <w:pStyle w:val="S1"/>
              <w:numPr>
                <w:ilvl w:val="0"/>
                <w:numId w:val="0"/>
              </w:numPr>
              <w:spacing w:after="0" w:line="240" w:lineRule="auto"/>
              <w:ind w:left="33"/>
              <w:jc w:val="center"/>
              <w:rPr>
                <w:strike/>
                <w:color w:val="auto"/>
                <w:sz w:val="16"/>
                <w:szCs w:val="16"/>
              </w:rPr>
            </w:pPr>
          </w:p>
        </w:tc>
        <w:tc>
          <w:tcPr>
            <w:tcW w:w="2410" w:type="dxa"/>
            <w:vAlign w:val="center"/>
          </w:tcPr>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lastRenderedPageBreak/>
              <w:t>Nowoczesna oferta edukacyjna odpowiadająca potrzebom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Dostosowanie oferty edukacyjnej do potrzeb rynku pracy</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Atrakcyjna oferta staży i praktyk zawodowych</w:t>
            </w:r>
          </w:p>
          <w:p w:rsidR="00567C3E" w:rsidRPr="001534A8" w:rsidRDefault="00567C3E" w:rsidP="00D32FA7">
            <w:pPr>
              <w:pStyle w:val="S1"/>
              <w:numPr>
                <w:ilvl w:val="0"/>
                <w:numId w:val="0"/>
              </w:numPr>
              <w:spacing w:after="0" w:line="240" w:lineRule="auto"/>
              <w:ind w:left="33"/>
              <w:jc w:val="center"/>
              <w:rPr>
                <w:color w:val="auto"/>
                <w:sz w:val="16"/>
                <w:szCs w:val="16"/>
              </w:rPr>
            </w:pPr>
          </w:p>
          <w:p w:rsidR="00567C3E" w:rsidRPr="001534A8" w:rsidRDefault="00567C3E" w:rsidP="00D32FA7">
            <w:pPr>
              <w:pStyle w:val="S1"/>
              <w:numPr>
                <w:ilvl w:val="0"/>
                <w:numId w:val="0"/>
              </w:numPr>
              <w:spacing w:after="0" w:line="240" w:lineRule="auto"/>
              <w:ind w:left="33"/>
              <w:jc w:val="center"/>
              <w:rPr>
                <w:color w:val="auto"/>
                <w:sz w:val="16"/>
                <w:szCs w:val="16"/>
              </w:rPr>
            </w:pPr>
            <w:r w:rsidRPr="001534A8">
              <w:rPr>
                <w:color w:val="auto"/>
                <w:sz w:val="16"/>
                <w:szCs w:val="16"/>
              </w:rPr>
              <w:t xml:space="preserve">Wsparcie rozwoju doradztwa </w:t>
            </w:r>
            <w:r w:rsidRPr="001534A8">
              <w:rPr>
                <w:color w:val="auto"/>
                <w:sz w:val="16"/>
                <w:szCs w:val="16"/>
              </w:rPr>
              <w:lastRenderedPageBreak/>
              <w:t>edukacyjno-zawodowego</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Poprawa jakości kształcenie poprzez wyposażenie placówek kształcenia w odpowiedni sprzęt</w:t>
            </w:r>
          </w:p>
          <w:p w:rsidR="00567C3E" w:rsidRPr="001534A8" w:rsidRDefault="00567C3E" w:rsidP="00D32FA7">
            <w:pPr>
              <w:spacing w:after="0" w:line="240" w:lineRule="auto"/>
              <w:jc w:val="center"/>
              <w:rPr>
                <w:rFonts w:ascii="Garamond" w:hAnsi="Garamond"/>
                <w:b/>
                <w:sz w:val="16"/>
                <w:szCs w:val="16"/>
              </w:rPr>
            </w:pPr>
          </w:p>
          <w:p w:rsidR="00567C3E" w:rsidRPr="001534A8" w:rsidRDefault="00567C3E" w:rsidP="00D32FA7">
            <w:pPr>
              <w:spacing w:after="0" w:line="240" w:lineRule="auto"/>
              <w:jc w:val="center"/>
              <w:rPr>
                <w:rFonts w:ascii="Garamond" w:hAnsi="Garamond"/>
                <w:b/>
                <w:sz w:val="16"/>
                <w:szCs w:val="16"/>
              </w:rPr>
            </w:pPr>
            <w:r w:rsidRPr="001534A8">
              <w:rPr>
                <w:rFonts w:ascii="Garamond" w:hAnsi="Garamond"/>
                <w:b/>
                <w:sz w:val="16"/>
                <w:szCs w:val="16"/>
              </w:rPr>
              <w:t>Rozwój kompetencji kluczowych uczniów oraz podnoszenie kwalifikacji i kompetencji nauczycieli na wszystkich poziomach kształcenia</w:t>
            </w: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lastRenderedPageBreak/>
              <w:t>Realizacja wysokiej jakości staży i praktyk zawodowych dla uczniów szkół i placówek kształcenia zawodowego we współpracy z pracodawcami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 xml:space="preserve">Realizacja dodatkowych zajęć pozalekcyjnych i pozaszkolnych w zakresie przedmiotów zawodowych i związanych z nimi kursów i szkoleń, dostosowanych </w:t>
            </w:r>
            <w:r w:rsidRPr="001534A8">
              <w:rPr>
                <w:rFonts w:ascii="Garamond" w:hAnsi="Garamond" w:cs="Calibri"/>
                <w:sz w:val="16"/>
                <w:szCs w:val="16"/>
              </w:rPr>
              <w:lastRenderedPageBreak/>
              <w:t>do potrzeb pracodawców</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nauczycieli kształcenia zawodowego ukierunkowane na podniesienie kompetencji lub kwalifikacji</w:t>
            </w:r>
          </w:p>
          <w:p w:rsidR="00567C3E" w:rsidRPr="001534A8" w:rsidRDefault="00567C3E" w:rsidP="00D32FA7">
            <w:pPr>
              <w:autoSpaceDE w:val="0"/>
              <w:autoSpaceDN w:val="0"/>
              <w:adjustRightInd w:val="0"/>
              <w:spacing w:after="0"/>
              <w:jc w:val="center"/>
              <w:rPr>
                <w:rFonts w:ascii="Garamond" w:hAnsi="Garamond" w:cs="Calibri"/>
                <w:sz w:val="16"/>
                <w:szCs w:val="16"/>
              </w:rPr>
            </w:pPr>
          </w:p>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podniesienie kompetencji instruktorów praktycznej nauki zawodu oraz opiekunów praktyk lub stażysty u pracodawców</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lastRenderedPageBreak/>
              <w:t>Powiat Brodnicki</w:t>
            </w:r>
          </w:p>
        </w:tc>
        <w:tc>
          <w:tcPr>
            <w:tcW w:w="4255" w:type="dxa"/>
            <w:vAlign w:val="center"/>
          </w:tcPr>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objętych wsparciem w programie, uczestniczących w kształceniu lub pracujących po 6 miesiącach po ukończeniu nauki – 210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wykorzystujących doposażenie zakupione dzięki EFS – 3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osób, które uzyskały kwalifikacje w ramach pozaszkolnych form kształcenia – 410 osób </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Liczba uczniów szkół i placówek kształcenia zawodowego uczestniczących w stażach i praktykach u pracodawcy 158 –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nauczycieli kształcenia zawodowego oraz instruktorów </w:t>
            </w:r>
            <w:r w:rsidRPr="001534A8">
              <w:rPr>
                <w:rFonts w:ascii="Garamond" w:hAnsi="Garamond"/>
                <w:sz w:val="16"/>
              </w:rPr>
              <w:lastRenderedPageBreak/>
              <w:t>praktycznej nauki zawodu objętych wsparciem w programie – 14 osób</w:t>
            </w:r>
          </w:p>
          <w:p w:rsidR="00567C3E" w:rsidRPr="001534A8" w:rsidRDefault="00567C3E" w:rsidP="00E36E87">
            <w:pPr>
              <w:pStyle w:val="Akapitzlist"/>
              <w:numPr>
                <w:ilvl w:val="0"/>
                <w:numId w:val="123"/>
              </w:numPr>
              <w:spacing w:after="0" w:line="23" w:lineRule="atLeast"/>
              <w:ind w:left="170" w:hanging="170"/>
              <w:jc w:val="both"/>
              <w:rPr>
                <w:rFonts w:ascii="Garamond" w:hAnsi="Garamond"/>
                <w:sz w:val="16"/>
              </w:rPr>
            </w:pPr>
            <w:r w:rsidRPr="001534A8">
              <w:rPr>
                <w:rFonts w:ascii="Garamond" w:hAnsi="Garamond"/>
                <w:sz w:val="16"/>
              </w:rPr>
              <w:t xml:space="preserve">Liczba szkół i placówek kształcenia zawodowego doposażonych w sprzęt i materiały dydaktyczne niezbędne do realizacji kształcenia zawodowego – 4 szt. </w:t>
            </w:r>
          </w:p>
          <w:p w:rsidR="00567C3E" w:rsidRPr="001534A8" w:rsidRDefault="00567C3E" w:rsidP="00E36E87">
            <w:pPr>
              <w:pStyle w:val="Akapitzlist"/>
              <w:numPr>
                <w:ilvl w:val="0"/>
                <w:numId w:val="123"/>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uczestniczących w pozaszkolnych formach kształcenia w programie – 1 420 osoby </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lastRenderedPageBreak/>
              <w:t>10</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Wysoki odsetek osób korzystających ze wsparcia opieki społecznej</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Przeciwdziałanie wykluczeniu społecznemu i ubóstwu</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Działania ukierunkowane na aktywizację społeczno-zawodową osób, rodzin i grup wykluczonych oraz zagrożonych wykluczeniem</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które uzyskały kwalifikacje po opuszczeniu programu – 140 osób </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poszukujących pracy po opuszczeniu programu – 70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Liczba osób zagrożonych ubóstwem lub wykluczeniem społecznym pracujących po opuszczeniu programu (łącznie z pracującymi na własny rachunek) – 5 osób</w:t>
            </w:r>
          </w:p>
          <w:p w:rsidR="00567C3E" w:rsidRPr="001534A8" w:rsidRDefault="00567C3E" w:rsidP="00E36E87">
            <w:pPr>
              <w:pStyle w:val="Akapitzlist"/>
              <w:numPr>
                <w:ilvl w:val="0"/>
                <w:numId w:val="125"/>
              </w:numPr>
              <w:spacing w:after="0" w:line="23" w:lineRule="atLeast"/>
              <w:ind w:left="170" w:hanging="170"/>
              <w:jc w:val="both"/>
              <w:rPr>
                <w:rFonts w:ascii="Garamond" w:hAnsi="Garamond"/>
                <w:sz w:val="16"/>
              </w:rPr>
            </w:pPr>
            <w:r w:rsidRPr="001534A8">
              <w:rPr>
                <w:rFonts w:ascii="Garamond" w:hAnsi="Garamond"/>
                <w:sz w:val="16"/>
              </w:rPr>
              <w:t xml:space="preserve">Liczba osób zagrożonych ubóstwem lub wykluczeniem społecznym objętych wsparciem w programie – 255 osób </w:t>
            </w:r>
          </w:p>
          <w:p w:rsidR="00567C3E" w:rsidRPr="001534A8" w:rsidRDefault="00567C3E" w:rsidP="00E36E87">
            <w:pPr>
              <w:pStyle w:val="Akapitzlist"/>
              <w:numPr>
                <w:ilvl w:val="0"/>
                <w:numId w:val="125"/>
              </w:numPr>
              <w:spacing w:after="0" w:line="23" w:lineRule="atLeast"/>
              <w:ind w:left="170" w:hanging="170"/>
              <w:jc w:val="both"/>
              <w:rPr>
                <w:b/>
                <w:sz w:val="16"/>
                <w:szCs w:val="16"/>
              </w:rPr>
            </w:pPr>
            <w:r w:rsidRPr="001534A8">
              <w:rPr>
                <w:rFonts w:ascii="Garamond" w:hAnsi="Garamond"/>
                <w:sz w:val="16"/>
              </w:rPr>
              <w:t>Liczba osób z niepełnosprawnościami objętych wsparciem w programie – 50 osób</w:t>
            </w:r>
          </w:p>
        </w:tc>
      </w:tr>
      <w:tr w:rsidR="00567C3E" w:rsidRPr="001534A8" w:rsidTr="00D32FA7">
        <w:tc>
          <w:tcPr>
            <w:tcW w:w="534" w:type="dxa"/>
            <w:vAlign w:val="center"/>
          </w:tcPr>
          <w:p w:rsidR="00567C3E" w:rsidRPr="001534A8" w:rsidRDefault="00567C3E" w:rsidP="00D32FA7">
            <w:pPr>
              <w:pStyle w:val="S1"/>
              <w:numPr>
                <w:ilvl w:val="0"/>
                <w:numId w:val="0"/>
              </w:numPr>
              <w:spacing w:after="0" w:line="240" w:lineRule="auto"/>
              <w:jc w:val="center"/>
              <w:rPr>
                <w:b w:val="0"/>
                <w:color w:val="auto"/>
                <w:sz w:val="16"/>
                <w:szCs w:val="16"/>
              </w:rPr>
            </w:pPr>
            <w:r w:rsidRPr="001534A8">
              <w:rPr>
                <w:b w:val="0"/>
                <w:color w:val="auto"/>
                <w:sz w:val="16"/>
                <w:szCs w:val="16"/>
              </w:rPr>
              <w:t>11</w:t>
            </w:r>
          </w:p>
        </w:tc>
        <w:tc>
          <w:tcPr>
            <w:tcW w:w="2551"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Niedostatecznie dostosowany do potrzeb system opieki społecznej i zdrowotnej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Zbyt mała dostępność do usług opiekuńczych dla osób starszych i niepełnosprawnych</w:t>
            </w:r>
          </w:p>
        </w:tc>
        <w:tc>
          <w:tcPr>
            <w:tcW w:w="2410" w:type="dxa"/>
            <w:vAlign w:val="center"/>
          </w:tcPr>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Wzmocnienie integracji społecznej i dostosowanie systemu opieki zdrowotnej do sytuacji demograficznej</w:t>
            </w:r>
          </w:p>
          <w:p w:rsidR="00567C3E" w:rsidRPr="001534A8" w:rsidRDefault="00567C3E" w:rsidP="00D32FA7">
            <w:pPr>
              <w:pStyle w:val="S1"/>
              <w:numPr>
                <w:ilvl w:val="0"/>
                <w:numId w:val="0"/>
              </w:numPr>
              <w:spacing w:after="0" w:line="240" w:lineRule="auto"/>
              <w:jc w:val="center"/>
              <w:rPr>
                <w:color w:val="auto"/>
                <w:sz w:val="16"/>
                <w:szCs w:val="16"/>
              </w:rPr>
            </w:pPr>
          </w:p>
          <w:p w:rsidR="00567C3E" w:rsidRPr="001534A8" w:rsidRDefault="00567C3E" w:rsidP="00D32FA7">
            <w:pPr>
              <w:pStyle w:val="S1"/>
              <w:numPr>
                <w:ilvl w:val="0"/>
                <w:numId w:val="0"/>
              </w:numPr>
              <w:spacing w:after="0" w:line="240" w:lineRule="auto"/>
              <w:jc w:val="center"/>
              <w:rPr>
                <w:color w:val="auto"/>
                <w:sz w:val="16"/>
                <w:szCs w:val="16"/>
              </w:rPr>
            </w:pPr>
            <w:r w:rsidRPr="001534A8">
              <w:rPr>
                <w:color w:val="auto"/>
                <w:sz w:val="16"/>
                <w:szCs w:val="16"/>
              </w:rPr>
              <w:t>Rozwój usług opiekuńczych skierowanych do osób starszych i niepełnosprawnych</w:t>
            </w:r>
          </w:p>
          <w:p w:rsidR="00567C3E" w:rsidRPr="001534A8" w:rsidRDefault="00567C3E" w:rsidP="00D32FA7">
            <w:pPr>
              <w:pStyle w:val="S1"/>
              <w:numPr>
                <w:ilvl w:val="0"/>
                <w:numId w:val="0"/>
              </w:numPr>
              <w:spacing w:after="0" w:line="240" w:lineRule="auto"/>
              <w:jc w:val="center"/>
              <w:rPr>
                <w:color w:val="auto"/>
                <w:sz w:val="16"/>
                <w:szCs w:val="16"/>
              </w:rPr>
            </w:pPr>
          </w:p>
        </w:tc>
        <w:tc>
          <w:tcPr>
            <w:tcW w:w="2410" w:type="dxa"/>
            <w:vAlign w:val="center"/>
          </w:tcPr>
          <w:p w:rsidR="00567C3E" w:rsidRPr="001534A8" w:rsidRDefault="00567C3E" w:rsidP="00D32FA7">
            <w:pPr>
              <w:autoSpaceDE w:val="0"/>
              <w:autoSpaceDN w:val="0"/>
              <w:adjustRightInd w:val="0"/>
              <w:spacing w:after="0"/>
              <w:jc w:val="center"/>
              <w:rPr>
                <w:rFonts w:ascii="Garamond" w:hAnsi="Garamond" w:cs="Calibri"/>
                <w:sz w:val="16"/>
                <w:szCs w:val="16"/>
              </w:rPr>
            </w:pPr>
            <w:r w:rsidRPr="001534A8">
              <w:rPr>
                <w:rFonts w:ascii="Garamond" w:hAnsi="Garamond" w:cs="Calibri"/>
                <w:sz w:val="16"/>
                <w:szCs w:val="16"/>
              </w:rPr>
              <w:t>Wsparcie na rzecz poprawy dostępu do usług opiekuńczych nad osobami starszymi, z niepełnosprawnościami i zależnymi</w:t>
            </w:r>
          </w:p>
        </w:tc>
        <w:tc>
          <w:tcPr>
            <w:tcW w:w="1984" w:type="dxa"/>
            <w:vAlign w:val="center"/>
          </w:tcPr>
          <w:p w:rsidR="00567C3E" w:rsidRPr="001534A8" w:rsidRDefault="00567C3E" w:rsidP="00E36E87">
            <w:pPr>
              <w:pStyle w:val="S1"/>
              <w:numPr>
                <w:ilvl w:val="0"/>
                <w:numId w:val="127"/>
              </w:numPr>
              <w:spacing w:after="0" w:line="240" w:lineRule="auto"/>
              <w:ind w:left="170" w:hanging="170"/>
              <w:rPr>
                <w:b w:val="0"/>
                <w:color w:val="auto"/>
                <w:sz w:val="16"/>
                <w:szCs w:val="16"/>
              </w:rPr>
            </w:pPr>
            <w:r w:rsidRPr="001534A8">
              <w:rPr>
                <w:b w:val="0"/>
                <w:color w:val="auto"/>
                <w:sz w:val="16"/>
                <w:szCs w:val="16"/>
              </w:rPr>
              <w:t>Powiat Brodnicki</w:t>
            </w:r>
          </w:p>
        </w:tc>
        <w:tc>
          <w:tcPr>
            <w:tcW w:w="4255" w:type="dxa"/>
            <w:vAlign w:val="center"/>
          </w:tcPr>
          <w:p w:rsidR="00567C3E" w:rsidRPr="001534A8" w:rsidRDefault="00567C3E" w:rsidP="00E36E87">
            <w:pPr>
              <w:pStyle w:val="Akapitzlist"/>
              <w:numPr>
                <w:ilvl w:val="0"/>
                <w:numId w:val="124"/>
              </w:numPr>
              <w:spacing w:after="0" w:line="23" w:lineRule="atLeast"/>
              <w:ind w:left="170" w:hanging="170"/>
              <w:jc w:val="both"/>
              <w:rPr>
                <w:rFonts w:ascii="Garamond" w:hAnsi="Garamond"/>
                <w:sz w:val="16"/>
              </w:rPr>
            </w:pPr>
            <w:r w:rsidRPr="001534A8">
              <w:rPr>
                <w:rFonts w:ascii="Garamond" w:hAnsi="Garamond"/>
                <w:sz w:val="16"/>
              </w:rPr>
              <w:t xml:space="preserve">Liczba wspartych w programie miejsc świadczenia usług społecznych istniejących po zakończeniu projektu – 70 szt. </w:t>
            </w:r>
          </w:p>
          <w:p w:rsidR="00567C3E" w:rsidRPr="001534A8" w:rsidRDefault="00567C3E" w:rsidP="00E36E87">
            <w:pPr>
              <w:pStyle w:val="Akapitzlist"/>
              <w:numPr>
                <w:ilvl w:val="0"/>
                <w:numId w:val="124"/>
              </w:numPr>
              <w:spacing w:after="0" w:line="23" w:lineRule="atLeast"/>
              <w:ind w:left="170" w:hanging="170"/>
              <w:jc w:val="both"/>
              <w:rPr>
                <w:rFonts w:ascii="Garamond" w:hAnsi="Garamond" w:cs="Calibri"/>
                <w:sz w:val="16"/>
                <w:szCs w:val="16"/>
              </w:rPr>
            </w:pPr>
            <w:r w:rsidRPr="001534A8">
              <w:rPr>
                <w:rFonts w:ascii="Garamond" w:hAnsi="Garamond"/>
                <w:sz w:val="16"/>
              </w:rPr>
              <w:t xml:space="preserve">Liczba osób zagrożonych ubóstwem lub wykluczeniem społecznym objętych usługami społecznymi świadczonymi w interesie ogólnym w programie – 352 osoby </w:t>
            </w:r>
          </w:p>
        </w:tc>
      </w:tr>
    </w:tbl>
    <w:p w:rsidR="00567C3E" w:rsidRPr="001534A8" w:rsidRDefault="00567C3E" w:rsidP="00567C3E">
      <w:pPr>
        <w:pStyle w:val="S1"/>
        <w:numPr>
          <w:ilvl w:val="0"/>
          <w:numId w:val="0"/>
        </w:numPr>
        <w:tabs>
          <w:tab w:val="left" w:pos="709"/>
        </w:tabs>
        <w:spacing w:before="120" w:after="240"/>
        <w:rPr>
          <w:b w:val="0"/>
          <w:color w:val="auto"/>
          <w:sz w:val="22"/>
        </w:rPr>
        <w:sectPr w:rsidR="00567C3E" w:rsidRPr="001534A8" w:rsidSect="00D32FA7">
          <w:pgSz w:w="16838" w:h="11906" w:orient="landscape"/>
          <w:pgMar w:top="1417" w:right="1417" w:bottom="1417" w:left="1417" w:header="708" w:footer="708" w:gutter="0"/>
          <w:cols w:space="708"/>
          <w:docGrid w:linePitch="360"/>
        </w:sectPr>
      </w:pPr>
    </w:p>
    <w:p w:rsidR="00567C3E" w:rsidRPr="001534A8" w:rsidRDefault="00567C3E" w:rsidP="00567C3E">
      <w:pPr>
        <w:pStyle w:val="ST2"/>
      </w:pPr>
      <w:bookmarkStart w:id="99" w:name="_Toc419705529"/>
      <w:r w:rsidRPr="001534A8">
        <w:lastRenderedPageBreak/>
        <w:t>Tryb i zasady naboru projektów do Strategii</w:t>
      </w:r>
      <w:bookmarkEnd w:id="99"/>
    </w:p>
    <w:p w:rsidR="00567C3E" w:rsidRPr="001534A8" w:rsidRDefault="00567C3E" w:rsidP="00567C3E">
      <w:pPr>
        <w:ind w:firstLine="709"/>
        <w:jc w:val="both"/>
        <w:rPr>
          <w:rFonts w:ascii="Garamond" w:hAnsi="Garamond"/>
        </w:rPr>
      </w:pPr>
      <w:r w:rsidRPr="001534A8">
        <w:rPr>
          <w:rFonts w:ascii="Garamond" w:hAnsi="Garamond"/>
        </w:rPr>
        <w:t xml:space="preserve">Nabór projektów do Strategii Obszaru Rozwoju </w:t>
      </w:r>
      <w:proofErr w:type="spellStart"/>
      <w:r w:rsidRPr="001534A8">
        <w:rPr>
          <w:rFonts w:ascii="Garamond" w:hAnsi="Garamond"/>
        </w:rPr>
        <w:t>Społeczno</w:t>
      </w:r>
      <w:proofErr w:type="spellEnd"/>
      <w:r w:rsidRPr="001534A8">
        <w:rPr>
          <w:rFonts w:ascii="Garamond" w:hAnsi="Garamond"/>
        </w:rPr>
        <w:t xml:space="preserve"> – Gospodarczego Powiatu Brodnickiego przeprowadzono przy zachowaniu partnerskiego modelu współpracy, tj. udziału m.in. jednostek samorządu terytorialnego,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w:t>
      </w:r>
    </w:p>
    <w:p w:rsidR="00567C3E" w:rsidRPr="001534A8" w:rsidRDefault="00567C3E" w:rsidP="00567C3E">
      <w:pPr>
        <w:ind w:firstLine="709"/>
        <w:jc w:val="both"/>
        <w:rPr>
          <w:rFonts w:ascii="Garamond" w:hAnsi="Garamond"/>
        </w:rPr>
      </w:pPr>
      <w:r w:rsidRPr="001534A8">
        <w:rPr>
          <w:rFonts w:ascii="Garamond" w:hAnsi="Garamond"/>
        </w:rPr>
        <w:t xml:space="preserve">Idea partnerstwa była realizowana od samego początku prac nad Strategią. W części diagnostycznej dokumentu dokonano analizy stanu obecnego, problemów i potrzeb rozwojowych całego obszaru w odniesieniu do potrzeb ww. Interesariuszy. Gotowa diagnoza została przedstawiona i skonsultowana z partnerami społecznymi podczas otwartego spotkania, podczas którego przedstawiono wzór fiszki projektowej oraz ogłoszono nabór propozycji projektowych do Strategii. Informacja o naborze projektów została podana do wiadomości publicznej także za pośrednictwem strony internetowej Starostwa Powiatowego w Brodnicy – </w:t>
      </w:r>
      <w:r w:rsidRPr="001534A8">
        <w:rPr>
          <w:rFonts w:ascii="Garamond" w:hAnsi="Garamond"/>
          <w:i/>
        </w:rPr>
        <w:t>www.brodnica.com.pl.</w:t>
      </w:r>
      <w:r w:rsidRPr="001534A8">
        <w:rPr>
          <w:rFonts w:ascii="Garamond" w:hAnsi="Garamond"/>
        </w:rPr>
        <w:t xml:space="preserve"> Projekty należało zgłaszać na formularzu omówionej na spotkaniu fiszki projektowej. Ideą naboru pomysłów projektowych było poznanie jak największej liczby planów i pomysłów na dalszy rozwój ORSG w latach 2015 – 2020. Dlatego też nabór fiszek projektowych nie ograniczał się jedynie do obszarów objętych polityką terytorialną.</w:t>
      </w:r>
    </w:p>
    <w:p w:rsidR="00567C3E" w:rsidRPr="001534A8" w:rsidRDefault="00567C3E" w:rsidP="00567C3E">
      <w:pPr>
        <w:ind w:firstLine="709"/>
        <w:jc w:val="both"/>
        <w:rPr>
          <w:rFonts w:ascii="Garamond" w:hAnsi="Garamond"/>
        </w:rPr>
      </w:pPr>
      <w:r w:rsidRPr="001534A8">
        <w:rPr>
          <w:rFonts w:ascii="Garamond" w:hAnsi="Garamond"/>
        </w:rPr>
        <w:t xml:space="preserve">Procedura wyboru projektów przewidzianych do finansowania w ramach polityki terytorialnej miała charakter dwuetapowy. </w:t>
      </w:r>
    </w:p>
    <w:p w:rsidR="00567C3E" w:rsidRPr="001534A8" w:rsidRDefault="00567C3E" w:rsidP="00567C3E">
      <w:pPr>
        <w:ind w:firstLine="708"/>
        <w:jc w:val="both"/>
        <w:rPr>
          <w:rFonts w:ascii="Garamond" w:hAnsi="Garamond"/>
        </w:rPr>
      </w:pPr>
      <w:r w:rsidRPr="001534A8">
        <w:rPr>
          <w:rFonts w:ascii="Garamond" w:hAnsi="Garamond"/>
        </w:rPr>
        <w:t xml:space="preserve">Wstępna selekcja (I etap oceny projektów) polegała na ocenie projektów pod kątem ich zgodności z Priorytetami Inwestycyjnymi w ramach RPO WK-P na lata 2014-2020 odnoszącymi się do poziomu powiatowego polityki terytorialnej. Kryterium to wynika z </w:t>
      </w:r>
      <w:r w:rsidRPr="001534A8">
        <w:rPr>
          <w:rFonts w:ascii="Garamond" w:hAnsi="Garamond"/>
          <w:i/>
        </w:rPr>
        <w:t>Założeń polityki terytorialnej województwa kujawsko-pomorskiego na lata 2014-2020</w:t>
      </w:r>
      <w:r w:rsidRPr="001534A8">
        <w:rPr>
          <w:rFonts w:ascii="Garamond" w:hAnsi="Garamond"/>
        </w:rPr>
        <w:t xml:space="preserve">, gdzie wskazano źródła finansowania działań realizowanych w ramach Strategii ORSG i ma charakter kryterium dostępu. Oznacza to, że projekty, które spełniły kryterium zgodności z Priorytetami Inwestycyjnymi trafiły na listę projektów poddanych dalszej ocenie, natomiast pozostałe przedsięwzięcia znalazły się na </w:t>
      </w:r>
      <w:r w:rsidRPr="001534A8">
        <w:rPr>
          <w:rFonts w:ascii="Garamond" w:hAnsi="Garamond"/>
          <w:b/>
        </w:rPr>
        <w:t>liście komplementarnej</w:t>
      </w:r>
      <w:r w:rsidRPr="001534A8">
        <w:rPr>
          <w:rFonts w:ascii="Garamond" w:hAnsi="Garamond"/>
        </w:rPr>
        <w:t xml:space="preserve">. </w:t>
      </w:r>
    </w:p>
    <w:p w:rsidR="00567C3E" w:rsidRPr="001534A8" w:rsidRDefault="00567C3E" w:rsidP="00567C3E">
      <w:pPr>
        <w:pStyle w:val="T"/>
      </w:pPr>
      <w:bookmarkStart w:id="100" w:name="_Toc430872026"/>
      <w:r w:rsidRPr="001534A8">
        <w:t>Tabela 4</w:t>
      </w:r>
      <w:r>
        <w:t>4</w:t>
      </w:r>
      <w:r w:rsidRPr="001534A8">
        <w:t>. Priorytety Inwestycyjne w ramach RPO WK-P na lata 2014-2020 odnoszące się do poziomu powiatowego polityki terytorialnej</w:t>
      </w:r>
      <w:bookmarkEnd w:id="100"/>
    </w:p>
    <w:tbl>
      <w:tblPr>
        <w:tblW w:w="4836"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8983"/>
      </w:tblGrid>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Rozwoju Regionalnego: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4c - Wspieranie efektywności energetycznej, inteligentnego zarządzania energią i wykorzystywania odnawialnych źródeł energii w budynkach publicznych, i w sektorze mieszkaniowym</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6b -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6c - Zachowanie, ochrona, promowanie i rozwój dziedzictwa naturalnego i kulturowego</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9b - Wspieranie rewitalizacji fizycznej, gospodarczej i społecznej ubogich społeczności na obszarach miejskich i wiejskich</w:t>
            </w:r>
          </w:p>
        </w:tc>
      </w:tr>
      <w:tr w:rsidR="00567C3E" w:rsidRPr="001534A8" w:rsidTr="00D32FA7">
        <w:trPr>
          <w:jc w:val="center"/>
        </w:trPr>
        <w:tc>
          <w:tcPr>
            <w:tcW w:w="5000" w:type="pct"/>
          </w:tcPr>
          <w:p w:rsidR="00567C3E" w:rsidRPr="001534A8" w:rsidRDefault="00567C3E" w:rsidP="00E36E87">
            <w:pPr>
              <w:pStyle w:val="Akapitzlist"/>
              <w:numPr>
                <w:ilvl w:val="0"/>
                <w:numId w:val="49"/>
              </w:numPr>
              <w:spacing w:before="40" w:after="40" w:line="240" w:lineRule="auto"/>
              <w:ind w:left="170" w:hanging="170"/>
              <w:jc w:val="both"/>
              <w:rPr>
                <w:rFonts w:ascii="Garamond" w:hAnsi="Garamond"/>
                <w:sz w:val="20"/>
              </w:rPr>
            </w:pPr>
            <w:r w:rsidRPr="001534A8">
              <w:rPr>
                <w:rFonts w:ascii="Garamond" w:hAnsi="Garamond"/>
                <w:sz w:val="20"/>
              </w:rPr>
              <w:t>10a - Inwestowanie w kształcenie, szkolenie oraz szkolenie zawodowe na rzecz zdobywania umiejętności i uczenia się przez całe życie poprzez rozwój infrastruktury edukacyjnej i szkoleniowej</w:t>
            </w:r>
          </w:p>
        </w:tc>
      </w:tr>
      <w:tr w:rsidR="00567C3E" w:rsidRPr="001534A8" w:rsidTr="00D32FA7">
        <w:trPr>
          <w:jc w:val="center"/>
        </w:trPr>
        <w:tc>
          <w:tcPr>
            <w:tcW w:w="5000" w:type="pct"/>
            <w:shd w:val="clear" w:color="auto" w:fill="824BB0"/>
          </w:tcPr>
          <w:p w:rsidR="00567C3E" w:rsidRPr="001534A8" w:rsidRDefault="00567C3E" w:rsidP="00D32FA7">
            <w:pPr>
              <w:spacing w:before="40" w:after="40"/>
              <w:jc w:val="both"/>
              <w:rPr>
                <w:rFonts w:ascii="Garamond" w:hAnsi="Garamond"/>
                <w:color w:val="FFFFFF" w:themeColor="background1"/>
                <w:sz w:val="20"/>
              </w:rPr>
            </w:pPr>
            <w:r w:rsidRPr="001534A8">
              <w:rPr>
                <w:rFonts w:ascii="Garamond" w:hAnsi="Garamond"/>
                <w:color w:val="FFFFFF" w:themeColor="background1"/>
                <w:sz w:val="20"/>
              </w:rPr>
              <w:t>Europejski Fundusz Społeczny:</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8iv - Równość mężczyzn i kobiet we wszystkich dziedzinach, w tym dostęp do zatrudnienia, rozwój kariery, </w:t>
            </w:r>
            <w:r w:rsidRPr="001534A8">
              <w:rPr>
                <w:rFonts w:ascii="Garamond" w:hAnsi="Garamond"/>
                <w:sz w:val="20"/>
              </w:rPr>
              <w:lastRenderedPageBreak/>
              <w:t>godzenie życia zawodowego i prywatnego oraz promowanie równości wynagrodzeń za taką samą pracę</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lastRenderedPageBreak/>
              <w:t>9i - Aktywne włączenie, w tym z myślą o promowaniu równych szans oraz aktywnego uczestnictwa i zwiększaniu szans na zatrudnienie</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9iv - Ułatwianie dostępu do przystępnych cenowo, trwałych oraz wysokiej jakości usług, w tym opieki zdrowotnej i usług socjalnych świadczonych w interesie ogólnym</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 xml:space="preserve">10i –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1534A8">
              <w:rPr>
                <w:rFonts w:ascii="Garamond" w:hAnsi="Garamond"/>
                <w:sz w:val="20"/>
              </w:rPr>
              <w:t>pozaformalnych</w:t>
            </w:r>
            <w:proofErr w:type="spellEnd"/>
            <w:r w:rsidRPr="001534A8">
              <w:rPr>
                <w:rFonts w:ascii="Garamond" w:hAnsi="Garamond"/>
                <w:sz w:val="20"/>
              </w:rPr>
              <w:t xml:space="preserve"> ścieżek kształcenia umożliwiających ponowne podjęcie kształcenia i szkolenia</w:t>
            </w:r>
          </w:p>
        </w:tc>
      </w:tr>
      <w:tr w:rsidR="00567C3E" w:rsidRPr="001534A8" w:rsidTr="00D32FA7">
        <w:trPr>
          <w:jc w:val="center"/>
        </w:trPr>
        <w:tc>
          <w:tcPr>
            <w:tcW w:w="5000" w:type="pct"/>
          </w:tcPr>
          <w:p w:rsidR="00567C3E" w:rsidRPr="001534A8" w:rsidRDefault="00567C3E" w:rsidP="00E36E87">
            <w:pPr>
              <w:pStyle w:val="Akapitzlist"/>
              <w:numPr>
                <w:ilvl w:val="0"/>
                <w:numId w:val="51"/>
              </w:numPr>
              <w:spacing w:before="40" w:after="40" w:line="240" w:lineRule="auto"/>
              <w:ind w:left="170" w:hanging="170"/>
              <w:jc w:val="both"/>
              <w:rPr>
                <w:rFonts w:ascii="Garamond" w:hAnsi="Garamond"/>
                <w:sz w:val="20"/>
              </w:rPr>
            </w:pPr>
            <w:r w:rsidRPr="001534A8">
              <w:rPr>
                <w:rFonts w:ascii="Garamond" w:hAnsi="Garamond"/>
                <w:sz w:val="20"/>
              </w:rPr>
              <w:t>10iv -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rsidR="00567C3E" w:rsidRPr="001534A8" w:rsidRDefault="00567C3E" w:rsidP="00567C3E">
      <w:pPr>
        <w:jc w:val="both"/>
        <w:rPr>
          <w:rFonts w:ascii="Garamond" w:hAnsi="Garamond"/>
          <w:i/>
          <w:sz w:val="20"/>
        </w:rPr>
      </w:pPr>
      <w:r w:rsidRPr="001534A8">
        <w:rPr>
          <w:rFonts w:ascii="Garamond" w:hAnsi="Garamond"/>
          <w:i/>
          <w:sz w:val="20"/>
        </w:rPr>
        <w:t>Źródło: Opracowanie własne na podstawie Założeń polityki terytorialnej województwa kujawsko-pomorskiego na lata 2014-2020.</w:t>
      </w:r>
    </w:p>
    <w:p w:rsidR="00567C3E" w:rsidRPr="001534A8" w:rsidRDefault="00567C3E" w:rsidP="00567C3E">
      <w:pPr>
        <w:spacing w:after="120"/>
        <w:ind w:firstLine="709"/>
        <w:jc w:val="both"/>
        <w:rPr>
          <w:rFonts w:ascii="Garamond" w:hAnsi="Garamond"/>
        </w:rPr>
      </w:pPr>
      <w:r w:rsidRPr="001534A8">
        <w:rPr>
          <w:rFonts w:ascii="Garamond" w:hAnsi="Garamond"/>
        </w:rPr>
        <w:t>II etap wyboru projektów polegał na wskazaniu przedsięwzięć priorytetowych dla ORSG do realizacji w okresie programowania 2014 – 2020. Wyboru zadań mających największy wpływ na rozwój obszaru w kolejnych latach dokonano z uwzględnieniem następujących kryteriów:</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realizację założeń strategii województwa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w jakim projekt wpłynie na rozwiązanie problemów danego obszaru</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stopień przygotowania inwestycji do realizacji</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termin zakończenia realizacji przedsięwzięcia do 31 grudnia 2018 r.</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realizacja projektu w partnerstwie</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wpływ projektu na zwiększenie zatrudnienia</w:t>
      </w:r>
    </w:p>
    <w:p w:rsidR="00567C3E" w:rsidRPr="001534A8" w:rsidRDefault="00567C3E" w:rsidP="00E36E87">
      <w:pPr>
        <w:pStyle w:val="Akapitzlist"/>
        <w:numPr>
          <w:ilvl w:val="0"/>
          <w:numId w:val="50"/>
        </w:numPr>
        <w:jc w:val="both"/>
        <w:rPr>
          <w:rFonts w:ascii="Garamond" w:hAnsi="Garamond"/>
        </w:rPr>
      </w:pPr>
      <w:r w:rsidRPr="001534A8">
        <w:rPr>
          <w:rFonts w:ascii="Garamond" w:hAnsi="Garamond"/>
        </w:rPr>
        <w:t>ilość problemów, które rozwiązuje projekt</w:t>
      </w:r>
    </w:p>
    <w:p w:rsidR="00567C3E" w:rsidRPr="001534A8" w:rsidRDefault="00567C3E" w:rsidP="00E36E87">
      <w:pPr>
        <w:pStyle w:val="Akapitzlist"/>
        <w:numPr>
          <w:ilvl w:val="0"/>
          <w:numId w:val="50"/>
        </w:numPr>
        <w:spacing w:after="120"/>
        <w:ind w:left="714" w:hanging="357"/>
        <w:jc w:val="both"/>
        <w:rPr>
          <w:rFonts w:ascii="Garamond" w:hAnsi="Garamond"/>
        </w:rPr>
      </w:pPr>
      <w:r w:rsidRPr="001534A8">
        <w:rPr>
          <w:rFonts w:ascii="Garamond" w:hAnsi="Garamond"/>
        </w:rPr>
        <w:t>wpływ projektu na rozwój podmiotów działających w obszarze inteligentnych specjalizacji</w:t>
      </w:r>
    </w:p>
    <w:p w:rsidR="00567C3E" w:rsidRPr="001534A8" w:rsidRDefault="00567C3E" w:rsidP="00567C3E">
      <w:pPr>
        <w:spacing w:after="120"/>
        <w:ind w:firstLine="709"/>
        <w:jc w:val="both"/>
        <w:rPr>
          <w:rFonts w:ascii="Garamond" w:hAnsi="Garamond"/>
        </w:rPr>
      </w:pPr>
      <w:r w:rsidRPr="001534A8">
        <w:rPr>
          <w:rFonts w:ascii="Garamond" w:hAnsi="Garamond"/>
        </w:rPr>
        <w:t xml:space="preserve">Ocena przedsięwzięć z uwzględnieniem powyższych kryteriów pozwoliła utworzyć </w:t>
      </w:r>
      <w:r w:rsidRPr="001534A8">
        <w:rPr>
          <w:rFonts w:ascii="Garamond" w:hAnsi="Garamond"/>
          <w:b/>
        </w:rPr>
        <w:t>listę podstawową i listę rezerwową</w:t>
      </w:r>
      <w:r w:rsidRPr="001534A8">
        <w:rPr>
          <w:rFonts w:ascii="Garamond" w:hAnsi="Garamond"/>
        </w:rPr>
        <w:t xml:space="preserve"> projektów do Strategii ORSG. Każda z nich została podzielona na dwie części – pierwsza zawiera projekty finansowane z Europejskiego Funduszu Rozwoju Regionalnego, a druga przedsięwzięcia finansowane z Europejskiego Funduszu Społecznego. </w:t>
      </w:r>
    </w:p>
    <w:p w:rsidR="00567C3E" w:rsidRPr="001534A8" w:rsidRDefault="00567C3E" w:rsidP="00567C3E">
      <w:pPr>
        <w:spacing w:after="120"/>
        <w:ind w:firstLine="709"/>
        <w:jc w:val="both"/>
        <w:rPr>
          <w:rFonts w:ascii="Garamond" w:hAnsi="Garamond"/>
        </w:rPr>
      </w:pPr>
      <w:r w:rsidRPr="001534A8">
        <w:rPr>
          <w:rFonts w:ascii="Garamond" w:hAnsi="Garamond"/>
        </w:rPr>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w:t>
      </w:r>
    </w:p>
    <w:p w:rsidR="00567C3E" w:rsidRPr="001534A8" w:rsidRDefault="00567C3E" w:rsidP="00567C3E">
      <w:pPr>
        <w:spacing w:after="120"/>
        <w:ind w:firstLine="709"/>
        <w:jc w:val="both"/>
        <w:rPr>
          <w:rFonts w:ascii="Garamond" w:hAnsi="Garamond"/>
        </w:rPr>
      </w:pPr>
      <w:r w:rsidRPr="001534A8">
        <w:rPr>
          <w:rFonts w:ascii="Garamond" w:hAnsi="Garamond"/>
        </w:rPr>
        <w:t xml:space="preserve">W sytuacji, gdy projekt z listy podstawowej zgłoszony przez danego beneficjenta nie będzie mógł zostać zrealizowany, zastąpi go projekt z listy rezerwowej, którego wnioskodawcą jest ten sam beneficjent. Jeżeli po zrealizowaniu wszystkich projektów z listy podstawowej pozostaną oszczędności tzn. pula środków przeznaczonych na politykę terytorialną dla ORSG nie zostanie w pełni wykorzystana, możliwość realizacji uzyskają projekty z listy rezerwowej. Decyzję o tym, które przedsięwzięcie przenieść na listę podstawową i skierować do konkursu, podejmie Komitet Sterujący. </w:t>
      </w:r>
    </w:p>
    <w:p w:rsidR="00567C3E" w:rsidRPr="001534A8" w:rsidRDefault="00567C3E" w:rsidP="00567C3E">
      <w:pPr>
        <w:ind w:firstLine="709"/>
        <w:jc w:val="both"/>
        <w:rPr>
          <w:rFonts w:ascii="Garamond" w:hAnsi="Garamond"/>
        </w:rPr>
      </w:pPr>
      <w:r w:rsidRPr="001534A8">
        <w:rPr>
          <w:rFonts w:ascii="Garamond" w:hAnsi="Garamond"/>
        </w:rPr>
        <w:t xml:space="preserve">Projekty z listy komplementarnej przewidziane zostały do finansowania poza polityką terytorialną tj. z innych dostępnych źródeł. Utworzenie listy komplementarnej projektów do Strategii ORSG ma na celu pokazanie planowanych działań rozwojowych także w obszarach nie objętych polityką terytorialną w szczególności tych wpływających na rozwój gospodarczy obszaru, niwelujących bezrobocie oraz zwiększających zatrudnienie. W efekcie wszystkie listy planowanych zadań przedstawią spójny obraz kierunków rozwoju Powiatu. </w:t>
      </w:r>
    </w:p>
    <w:p w:rsidR="00567C3E" w:rsidRPr="001534A8" w:rsidRDefault="00567C3E" w:rsidP="00567C3E">
      <w:pPr>
        <w:pStyle w:val="ST2"/>
      </w:pPr>
      <w:bookmarkStart w:id="101" w:name="_Toc419705530"/>
      <w:r w:rsidRPr="001534A8">
        <w:lastRenderedPageBreak/>
        <w:t>Lista przedsięwzięć oraz instrumenty realizacji</w:t>
      </w:r>
      <w:bookmarkEnd w:id="101"/>
      <w:r w:rsidRPr="001534A8">
        <w:t xml:space="preserve"> </w:t>
      </w:r>
    </w:p>
    <w:p w:rsidR="00567C3E" w:rsidRDefault="00567C3E" w:rsidP="00567C3E">
      <w:pPr>
        <w:ind w:firstLine="709"/>
        <w:jc w:val="both"/>
        <w:rPr>
          <w:rFonts w:ascii="Garamond" w:hAnsi="Garamond"/>
        </w:rPr>
      </w:pPr>
      <w:r w:rsidRPr="003C65FD">
        <w:rPr>
          <w:rFonts w:ascii="Garamond" w:hAnsi="Garamond"/>
        </w:rPr>
        <w:t>Podczas naboru projektów wpłynęło 334 fiszek projektowych o łącznej wartości 482 567 856,33 zł, z czego:</w:t>
      </w:r>
      <w:r>
        <w:rPr>
          <w:rFonts w:ascii="Garamond" w:hAnsi="Garamond"/>
        </w:rPr>
        <w:t xml:space="preserve">  </w:t>
      </w:r>
    </w:p>
    <w:p w:rsidR="00567C3E" w:rsidRPr="003C65FD" w:rsidRDefault="00567C3E" w:rsidP="00567C3E">
      <w:pPr>
        <w:ind w:firstLine="709"/>
        <w:jc w:val="both"/>
        <w:rPr>
          <w:rFonts w:ascii="Garamond" w:hAnsi="Garamond"/>
        </w:rPr>
      </w:pP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(48 083 950,00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(34 377 640,00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29 trafiło na listę rezerwową projektów finansowanych w ramach EFRR (54 792 784,23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207 trafiło na listę komplementarną (345 313 482,10 zł)</w:t>
      </w:r>
    </w:p>
    <w:p w:rsidR="00567C3E" w:rsidRPr="000D6A71" w:rsidRDefault="00567C3E" w:rsidP="00567C3E">
      <w:pPr>
        <w:spacing w:before="120" w:after="120"/>
        <w:ind w:firstLine="708"/>
        <w:jc w:val="both"/>
        <w:rPr>
          <w:rFonts w:ascii="Garamond" w:hAnsi="Garamond"/>
        </w:rPr>
      </w:pPr>
      <w:r w:rsidRPr="000D6A71">
        <w:rPr>
          <w:rFonts w:ascii="Garamond" w:hAnsi="Garamond"/>
        </w:rPr>
        <w:t>W związku wprowadzeniem zmian Uchwałą Nr VIII/10/2015 Komitetu Sterującego Obszaru Rozwoju Społeczno-Gospodarczego Powiatu Brodnickiego z dnia 29 grudnia 2015 r.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EFRR (48 711 252,00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54 trafiły na listę podstawową projektów finansowanych w ramach EFS (33 113 735,00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31 trafiło na listę rezerwową projektów finansowanych w ramach EFRR (64 355 659,23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214 trafiło na listę komplementarną (344 062 169,20zł)</w:t>
      </w:r>
    </w:p>
    <w:p w:rsidR="00567C3E" w:rsidRPr="000D6A71" w:rsidRDefault="00567C3E" w:rsidP="00567C3E">
      <w:pPr>
        <w:spacing w:before="120" w:after="120"/>
        <w:ind w:left="360"/>
        <w:jc w:val="both"/>
        <w:rPr>
          <w:rFonts w:ascii="Garamond" w:hAnsi="Garamond"/>
        </w:rPr>
      </w:pPr>
    </w:p>
    <w:p w:rsidR="00567C3E" w:rsidRPr="000D6A71" w:rsidRDefault="00567C3E" w:rsidP="00567C3E">
      <w:pPr>
        <w:spacing w:before="120" w:after="120"/>
        <w:ind w:left="360"/>
        <w:jc w:val="both"/>
        <w:rPr>
          <w:rFonts w:ascii="Garamond" w:hAnsi="Garamond"/>
        </w:rPr>
      </w:pPr>
      <w:r w:rsidRPr="000D6A71">
        <w:rPr>
          <w:rFonts w:ascii="Garamond" w:hAnsi="Garamond"/>
        </w:rPr>
        <w:t>W związku z aktualizacją i podjęciem Uchwały Nr X/12/2016 Komitetu Sterującego ORSG Powiatu Brodnickiego z dnia 22 marca 2016r. przyjmującej  Strategię Rozwoju Obszaru  Społeczno-Gospodarczego Powiatu Brodnickiego , lista projektów przedstawia się następująco:</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36  trafiły na listę podstawową projektów finansowanych w ramach EFRR (43 812 363,53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44 trafiły na listę podstawową projektów finansowanych w ramach EFS (31 997 475,00 zł)</w:t>
      </w:r>
    </w:p>
    <w:p w:rsidR="00567C3E" w:rsidRPr="000D6A71" w:rsidRDefault="00567C3E" w:rsidP="00E36E87">
      <w:pPr>
        <w:pStyle w:val="Akapitzlist"/>
        <w:numPr>
          <w:ilvl w:val="0"/>
          <w:numId w:val="55"/>
        </w:numPr>
        <w:spacing w:before="120" w:after="120"/>
        <w:jc w:val="both"/>
        <w:rPr>
          <w:rFonts w:ascii="Garamond" w:hAnsi="Garamond"/>
        </w:rPr>
      </w:pPr>
      <w:r w:rsidRPr="000D6A71">
        <w:rPr>
          <w:rFonts w:ascii="Garamond" w:hAnsi="Garamond"/>
        </w:rPr>
        <w:t>48  trafiło na listę rezerwową projektów finanso</w:t>
      </w:r>
      <w:r>
        <w:rPr>
          <w:rFonts w:ascii="Garamond" w:hAnsi="Garamond"/>
        </w:rPr>
        <w:t>wanych w ramach EFRR i EFS (88 2</w:t>
      </w:r>
      <w:r w:rsidRPr="000D6A71">
        <w:rPr>
          <w:rFonts w:ascii="Garamond" w:hAnsi="Garamond"/>
        </w:rPr>
        <w:t>49 961,23 zł)</w:t>
      </w:r>
    </w:p>
    <w:p w:rsidR="00567C3E" w:rsidRPr="00E645E3" w:rsidRDefault="00567C3E" w:rsidP="00E36E87">
      <w:pPr>
        <w:pStyle w:val="Akapitzlist"/>
        <w:numPr>
          <w:ilvl w:val="0"/>
          <w:numId w:val="55"/>
        </w:numPr>
        <w:spacing w:before="120" w:after="120"/>
        <w:ind w:left="360"/>
        <w:jc w:val="both"/>
      </w:pPr>
      <w:r w:rsidRPr="00EF3BF6">
        <w:rPr>
          <w:rFonts w:ascii="Garamond" w:hAnsi="Garamond"/>
        </w:rPr>
        <w:t>216 trafiło na listę komplementarną (353 181 169,20 zł)</w:t>
      </w:r>
      <w:bookmarkStart w:id="102" w:name="_Toc430872027"/>
    </w:p>
    <w:p w:rsidR="00E645E3" w:rsidRDefault="00E645E3" w:rsidP="00E645E3">
      <w:pPr>
        <w:pStyle w:val="Akapitzlist"/>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p>
    <w:p w:rsidR="00E645E3" w:rsidRPr="000D6A71" w:rsidRDefault="00E645E3" w:rsidP="00E645E3">
      <w:pPr>
        <w:spacing w:before="120" w:after="120"/>
        <w:ind w:left="360"/>
        <w:jc w:val="both"/>
        <w:rPr>
          <w:rFonts w:ascii="Garamond" w:hAnsi="Garamond"/>
        </w:rPr>
      </w:pPr>
      <w:r w:rsidRPr="000D6A71">
        <w:rPr>
          <w:rFonts w:ascii="Garamond" w:hAnsi="Garamond"/>
        </w:rPr>
        <w:t>W związku z aktualizacją i podjęciem Uchwały Nr X</w:t>
      </w:r>
      <w:r w:rsidR="005F0BE6">
        <w:rPr>
          <w:rFonts w:ascii="Garamond" w:hAnsi="Garamond"/>
        </w:rPr>
        <w:t>III/15</w:t>
      </w:r>
      <w:r w:rsidRPr="000D6A71">
        <w:rPr>
          <w:rFonts w:ascii="Garamond" w:hAnsi="Garamond"/>
        </w:rPr>
        <w:t>/2016 Komitetu Sterującego ORSG Powi</w:t>
      </w:r>
      <w:r>
        <w:rPr>
          <w:rFonts w:ascii="Garamond" w:hAnsi="Garamond"/>
        </w:rPr>
        <w:t xml:space="preserve">atu Brodnickiego z dnia 19 września </w:t>
      </w:r>
      <w:r w:rsidRPr="000D6A71">
        <w:rPr>
          <w:rFonts w:ascii="Garamond" w:hAnsi="Garamond"/>
        </w:rPr>
        <w:t xml:space="preserve"> 2016r. przyjmującej  Strategię Rozwoju Obszaru  Społeczno-Gospodarczego Powiatu Brodnickiego , lista projektów przedstawia się następująco:</w:t>
      </w:r>
    </w:p>
    <w:p w:rsidR="00E645E3" w:rsidRPr="000D6A71" w:rsidRDefault="00BB78D3" w:rsidP="00E645E3">
      <w:pPr>
        <w:pStyle w:val="Akapitzlist"/>
        <w:numPr>
          <w:ilvl w:val="0"/>
          <w:numId w:val="55"/>
        </w:numPr>
        <w:spacing w:before="120" w:after="120"/>
        <w:jc w:val="both"/>
        <w:rPr>
          <w:rFonts w:ascii="Garamond" w:hAnsi="Garamond"/>
        </w:rPr>
      </w:pPr>
      <w:r>
        <w:rPr>
          <w:rFonts w:ascii="Garamond" w:hAnsi="Garamond"/>
        </w:rPr>
        <w:t>3</w:t>
      </w:r>
      <w:r w:rsidR="005F0BE6">
        <w:rPr>
          <w:rFonts w:ascii="Garamond" w:hAnsi="Garamond"/>
        </w:rPr>
        <w:t>0</w:t>
      </w:r>
      <w:r w:rsidR="00E645E3" w:rsidRPr="000D6A71">
        <w:rPr>
          <w:rFonts w:ascii="Garamond" w:hAnsi="Garamond"/>
        </w:rPr>
        <w:t xml:space="preserve"> trafiły na listę podstawową projektów finansowany</w:t>
      </w:r>
      <w:r w:rsidR="005F0BE6">
        <w:rPr>
          <w:rFonts w:ascii="Garamond" w:hAnsi="Garamond"/>
        </w:rPr>
        <w:t>ch w ramach EFRR ( 40 825 443,83</w:t>
      </w:r>
      <w:r w:rsidR="00E645E3" w:rsidRPr="000D6A71">
        <w:rPr>
          <w:rFonts w:ascii="Garamond" w:hAnsi="Garamond"/>
        </w:rPr>
        <w:t>zł)</w:t>
      </w:r>
    </w:p>
    <w:p w:rsidR="00BB78D3" w:rsidRPr="00BB78D3" w:rsidRDefault="005F0BE6" w:rsidP="00BB78D3">
      <w:pPr>
        <w:pStyle w:val="Akapitzlist"/>
        <w:numPr>
          <w:ilvl w:val="0"/>
          <w:numId w:val="55"/>
        </w:numPr>
        <w:spacing w:before="120" w:after="120"/>
        <w:jc w:val="both"/>
        <w:rPr>
          <w:rFonts w:ascii="Garamond" w:hAnsi="Garamond"/>
        </w:rPr>
      </w:pPr>
      <w:r>
        <w:rPr>
          <w:rFonts w:ascii="Garamond" w:hAnsi="Garamond"/>
        </w:rPr>
        <w:t>24</w:t>
      </w:r>
      <w:r w:rsidR="00E645E3" w:rsidRPr="00BB78D3">
        <w:rPr>
          <w:rFonts w:ascii="Garamond" w:hAnsi="Garamond"/>
        </w:rPr>
        <w:t xml:space="preserve"> trafiły na listę podstawową projektów finans</w:t>
      </w:r>
      <w:r>
        <w:rPr>
          <w:rFonts w:ascii="Garamond" w:hAnsi="Garamond"/>
        </w:rPr>
        <w:t>owanych w ramach EFS ( 16 661 906,00</w:t>
      </w:r>
      <w:r w:rsidR="00E645E3" w:rsidRPr="00BB78D3">
        <w:rPr>
          <w:rFonts w:ascii="Garamond" w:hAnsi="Garamond"/>
        </w:rPr>
        <w:t>zł)</w:t>
      </w:r>
    </w:p>
    <w:p w:rsidR="00E645E3" w:rsidRDefault="00E645E3"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Default="00636F72" w:rsidP="00BB78D3">
      <w:pPr>
        <w:spacing w:before="120" w:after="120"/>
        <w:jc w:val="both"/>
      </w:pPr>
    </w:p>
    <w:p w:rsidR="00636F72" w:rsidRPr="00EF3BF6" w:rsidRDefault="00636F72" w:rsidP="00BB78D3">
      <w:pPr>
        <w:spacing w:before="120" w:after="120"/>
        <w:jc w:val="both"/>
      </w:pPr>
    </w:p>
    <w:p w:rsidR="00E645E3" w:rsidRPr="00EF3BF6" w:rsidRDefault="00E645E3" w:rsidP="00E645E3">
      <w:pPr>
        <w:pStyle w:val="Akapitzlist"/>
        <w:spacing w:before="120" w:after="120"/>
        <w:ind w:left="360"/>
        <w:jc w:val="both"/>
      </w:pPr>
    </w:p>
    <w:p w:rsidR="00567C3E" w:rsidRPr="00E645E3" w:rsidRDefault="00567C3E" w:rsidP="00567C3E">
      <w:pPr>
        <w:pStyle w:val="T"/>
        <w:rPr>
          <w:color w:val="7030A0"/>
        </w:rPr>
      </w:pPr>
    </w:p>
    <w:p w:rsidR="00E645E3" w:rsidRPr="00E645E3" w:rsidRDefault="00567C3E" w:rsidP="00E645E3">
      <w:pPr>
        <w:pStyle w:val="T"/>
        <w:rPr>
          <w:color w:val="7030A0"/>
        </w:rPr>
      </w:pPr>
      <w:r w:rsidRPr="00E645E3">
        <w:rPr>
          <w:color w:val="7030A0"/>
        </w:rPr>
        <w:lastRenderedPageBreak/>
        <w:t>Tabela 45. Wartość projektów z listy podstawowej w podziale na źródła finansowania</w:t>
      </w:r>
      <w:bookmarkEnd w:id="102"/>
      <w:r w:rsidRPr="00E645E3">
        <w:rPr>
          <w:color w:val="7030A0"/>
        </w:rPr>
        <w:t xml:space="preserve"> </w:t>
      </w:r>
      <w:r w:rsidR="00E645E3" w:rsidRPr="00E645E3">
        <w:rPr>
          <w:color w:val="7030A0"/>
        </w:rPr>
        <w:t>-</w:t>
      </w:r>
      <w:r w:rsidRPr="00E645E3">
        <w:rPr>
          <w:color w:val="7030A0"/>
        </w:rPr>
        <w:t xml:space="preserve"> </w:t>
      </w:r>
      <w:r w:rsidR="00E645E3" w:rsidRPr="00E645E3">
        <w:rPr>
          <w:color w:val="7030A0"/>
        </w:rPr>
        <w:t>aktualiz</w:t>
      </w:r>
      <w:r w:rsidR="00A643C5">
        <w:rPr>
          <w:color w:val="7030A0"/>
        </w:rPr>
        <w:t xml:space="preserve">acja Strategii ORSG w dniu </w:t>
      </w:r>
      <w:r w:rsidR="00610590">
        <w:rPr>
          <w:color w:val="7030A0"/>
        </w:rPr>
        <w:t>30 stycznia 2018r. uchwałą nr XIX</w:t>
      </w:r>
      <w:r w:rsidR="00010320">
        <w:rPr>
          <w:color w:val="7030A0"/>
        </w:rPr>
        <w:t xml:space="preserve"> /</w:t>
      </w:r>
      <w:r w:rsidR="00610590">
        <w:rPr>
          <w:color w:val="7030A0"/>
        </w:rPr>
        <w:t>24</w:t>
      </w:r>
      <w:r w:rsidR="00010320">
        <w:rPr>
          <w:color w:val="7030A0"/>
        </w:rPr>
        <w:t xml:space="preserve"> </w:t>
      </w:r>
      <w:r w:rsidR="00A643C5">
        <w:rPr>
          <w:color w:val="7030A0"/>
        </w:rPr>
        <w:t>/2018</w:t>
      </w:r>
      <w:r w:rsidR="00E645E3" w:rsidRPr="00E645E3">
        <w:rPr>
          <w:color w:val="7030A0"/>
        </w:rPr>
        <w:t xml:space="preserve">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83"/>
        <w:gridCol w:w="2037"/>
        <w:gridCol w:w="1306"/>
      </w:tblGrid>
      <w:tr w:rsidR="00567C3E" w:rsidRPr="001534A8" w:rsidTr="00D32FA7">
        <w:trPr>
          <w:trHeight w:val="254"/>
          <w:jc w:val="center"/>
        </w:trPr>
        <w:tc>
          <w:tcPr>
            <w:tcW w:w="2783" w:type="dxa"/>
            <w:tcBorders>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Źródło finansowania</w:t>
            </w:r>
          </w:p>
        </w:tc>
        <w:tc>
          <w:tcPr>
            <w:tcW w:w="2037" w:type="dxa"/>
            <w:tcBorders>
              <w:left w:val="single" w:sz="4" w:space="0" w:color="FFFFFF" w:themeColor="background1"/>
              <w:right w:val="single" w:sz="4" w:space="0" w:color="FFFFFF" w:themeColor="background1"/>
            </w:tcBorders>
            <w:shd w:val="clear" w:color="auto" w:fill="824BB0"/>
            <w:vAlign w:val="center"/>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sidR="00010320">
              <w:rPr>
                <w:rFonts w:ascii="Garamond" w:hAnsi="Garamond"/>
                <w:b/>
                <w:color w:val="FFFFFF" w:themeColor="background1"/>
                <w:sz w:val="20"/>
                <w:szCs w:val="20"/>
              </w:rPr>
              <w:t xml:space="preserve">dofinansowania </w:t>
            </w:r>
            <w:r w:rsidRPr="001534A8">
              <w:rPr>
                <w:rFonts w:ascii="Garamond" w:hAnsi="Garamond"/>
                <w:b/>
                <w:color w:val="FFFFFF" w:themeColor="background1"/>
                <w:sz w:val="20"/>
                <w:szCs w:val="20"/>
              </w:rPr>
              <w:t>w zł</w:t>
            </w:r>
          </w:p>
        </w:tc>
        <w:tc>
          <w:tcPr>
            <w:tcW w:w="1306" w:type="dxa"/>
            <w:tcBorders>
              <w:left w:val="single" w:sz="4" w:space="0" w:color="FFFFFF" w:themeColor="background1"/>
              <w:right w:val="single" w:sz="4" w:space="0" w:color="FFFFFF" w:themeColor="background1"/>
            </w:tcBorders>
            <w:shd w:val="clear" w:color="auto" w:fill="824BB0"/>
          </w:tcPr>
          <w:p w:rsidR="00567C3E" w:rsidRPr="001534A8" w:rsidRDefault="00567C3E"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udział</w:t>
            </w:r>
          </w:p>
        </w:tc>
      </w:tr>
      <w:tr w:rsidR="00567C3E" w:rsidRPr="001534A8" w:rsidTr="00D32FA7">
        <w:trPr>
          <w:trHeight w:val="254"/>
          <w:jc w:val="center"/>
        </w:trPr>
        <w:tc>
          <w:tcPr>
            <w:tcW w:w="2783" w:type="dxa"/>
          </w:tcPr>
          <w:p w:rsidR="00567C3E" w:rsidRPr="001534A8" w:rsidRDefault="00567C3E" w:rsidP="00D32FA7">
            <w:pPr>
              <w:spacing w:after="0"/>
              <w:rPr>
                <w:rFonts w:ascii="Garamond" w:hAnsi="Garamond"/>
                <w:sz w:val="20"/>
                <w:szCs w:val="20"/>
              </w:rPr>
            </w:pPr>
          </w:p>
        </w:tc>
        <w:tc>
          <w:tcPr>
            <w:tcW w:w="2037" w:type="dxa"/>
          </w:tcPr>
          <w:p w:rsidR="00567C3E" w:rsidRPr="001534A8" w:rsidRDefault="00567C3E" w:rsidP="00D32FA7">
            <w:pPr>
              <w:spacing w:after="0"/>
              <w:rPr>
                <w:rFonts w:ascii="Garamond" w:hAnsi="Garamond"/>
                <w:sz w:val="20"/>
                <w:szCs w:val="20"/>
              </w:rPr>
            </w:pPr>
          </w:p>
        </w:tc>
        <w:tc>
          <w:tcPr>
            <w:tcW w:w="1306" w:type="dxa"/>
          </w:tcPr>
          <w:p w:rsidR="00567C3E" w:rsidRPr="001534A8" w:rsidRDefault="00567C3E" w:rsidP="00D32FA7">
            <w:pPr>
              <w:spacing w:after="0"/>
              <w:rPr>
                <w:rFonts w:ascii="Garamond" w:hAnsi="Garamond"/>
                <w:sz w:val="20"/>
                <w:szCs w:val="20"/>
              </w:rPr>
            </w:pP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EFRR</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A643C5" w:rsidP="00D32FA7">
            <w:pPr>
              <w:jc w:val="center"/>
              <w:rPr>
                <w:rFonts w:ascii="Calibri" w:hAnsi="Calibri"/>
                <w:color w:val="000000" w:themeColor="text1"/>
                <w:sz w:val="28"/>
                <w:szCs w:val="28"/>
              </w:rPr>
            </w:pPr>
            <w:r>
              <w:rPr>
                <w:rFonts w:ascii="Calibri" w:hAnsi="Calibri"/>
                <w:color w:val="000000" w:themeColor="text1"/>
                <w:sz w:val="28"/>
                <w:szCs w:val="28"/>
              </w:rPr>
              <w:t>29 121</w:t>
            </w:r>
            <w:r w:rsidR="00C75C32">
              <w:rPr>
                <w:rFonts w:ascii="Calibri" w:hAnsi="Calibri"/>
                <w:color w:val="000000" w:themeColor="text1"/>
                <w:sz w:val="28"/>
                <w:szCs w:val="28"/>
              </w:rPr>
              <w:t> 916</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C75C32" w:rsidP="00BB78D3">
            <w:pPr>
              <w:spacing w:after="0"/>
              <w:rPr>
                <w:rFonts w:ascii="Garamond" w:hAnsi="Garamond" w:cs="Arial"/>
                <w:b/>
                <w:color w:val="000000"/>
                <w:sz w:val="28"/>
                <w:szCs w:val="28"/>
              </w:rPr>
            </w:pPr>
            <w:r>
              <w:rPr>
                <w:rFonts w:ascii="Garamond" w:hAnsi="Garamond" w:cs="Arial"/>
                <w:b/>
                <w:color w:val="000000"/>
                <w:sz w:val="28"/>
                <w:szCs w:val="28"/>
              </w:rPr>
              <w:t xml:space="preserve"> 66,40</w:t>
            </w:r>
            <w:r w:rsidR="00567C3E" w:rsidRPr="007F3354">
              <w:rPr>
                <w:rFonts w:ascii="Garamond" w:hAnsi="Garamond" w:cs="Arial"/>
                <w:b/>
                <w:color w:val="000000"/>
                <w:sz w:val="28"/>
                <w:szCs w:val="28"/>
              </w:rPr>
              <w:t>%</w:t>
            </w:r>
          </w:p>
        </w:tc>
      </w:tr>
      <w:tr w:rsidR="00567C3E" w:rsidRPr="001534A8" w:rsidTr="00D32FA7">
        <w:trPr>
          <w:trHeight w:val="941"/>
          <w:jc w:val="center"/>
        </w:trPr>
        <w:tc>
          <w:tcPr>
            <w:tcW w:w="2783" w:type="dxa"/>
            <w:shd w:val="clear" w:color="auto" w:fill="EFE6D5"/>
          </w:tcPr>
          <w:p w:rsidR="00567C3E" w:rsidRDefault="00567C3E" w:rsidP="00E36E87">
            <w:pPr>
              <w:pStyle w:val="Akapitzlist"/>
              <w:numPr>
                <w:ilvl w:val="0"/>
                <w:numId w:val="52"/>
              </w:numPr>
              <w:spacing w:after="0" w:line="240" w:lineRule="auto"/>
              <w:jc w:val="center"/>
              <w:rPr>
                <w:rFonts w:ascii="Garamond" w:hAnsi="Garamond"/>
                <w:sz w:val="20"/>
                <w:szCs w:val="20"/>
              </w:rPr>
            </w:pPr>
            <w:r w:rsidRPr="001534A8">
              <w:rPr>
                <w:rFonts w:ascii="Garamond" w:hAnsi="Garamond"/>
                <w:sz w:val="20"/>
                <w:szCs w:val="20"/>
              </w:rPr>
              <w:t>EFS</w:t>
            </w:r>
          </w:p>
          <w:p w:rsidR="00567C3E" w:rsidRPr="001534A8" w:rsidRDefault="00567C3E" w:rsidP="00D32FA7">
            <w:pPr>
              <w:pStyle w:val="Akapitzlist"/>
              <w:spacing w:after="0" w:line="240" w:lineRule="auto"/>
              <w:ind w:left="360"/>
              <w:jc w:val="center"/>
              <w:rPr>
                <w:rFonts w:ascii="Garamond" w:hAnsi="Garamond"/>
                <w:sz w:val="20"/>
                <w:szCs w:val="20"/>
              </w:rPr>
            </w:pPr>
          </w:p>
        </w:tc>
        <w:tc>
          <w:tcPr>
            <w:tcW w:w="2037" w:type="dxa"/>
            <w:shd w:val="clear" w:color="auto" w:fill="EFE6D5"/>
          </w:tcPr>
          <w:p w:rsidR="00567C3E" w:rsidRPr="007F3354" w:rsidRDefault="00C75C32" w:rsidP="00D32FA7">
            <w:pPr>
              <w:jc w:val="center"/>
              <w:rPr>
                <w:rFonts w:ascii="Calibri" w:hAnsi="Calibri"/>
                <w:color w:val="000000" w:themeColor="text1"/>
                <w:sz w:val="28"/>
                <w:szCs w:val="28"/>
              </w:rPr>
            </w:pPr>
            <w:r>
              <w:rPr>
                <w:rFonts w:ascii="Calibri" w:hAnsi="Calibri"/>
                <w:color w:val="000000" w:themeColor="text1"/>
                <w:sz w:val="28"/>
                <w:szCs w:val="28"/>
              </w:rPr>
              <w:t>14 738 435</w:t>
            </w:r>
          </w:p>
          <w:p w:rsidR="00567C3E" w:rsidRPr="007F3354" w:rsidRDefault="00567C3E" w:rsidP="00D32FA7">
            <w:pPr>
              <w:spacing w:after="0"/>
              <w:jc w:val="center"/>
              <w:rPr>
                <w:rFonts w:ascii="Garamond" w:hAnsi="Garamond"/>
                <w:color w:val="000000" w:themeColor="text1"/>
                <w:sz w:val="28"/>
                <w:szCs w:val="28"/>
              </w:rPr>
            </w:pPr>
          </w:p>
        </w:tc>
        <w:tc>
          <w:tcPr>
            <w:tcW w:w="1306" w:type="dxa"/>
            <w:shd w:val="clear" w:color="auto" w:fill="EFE6D5"/>
          </w:tcPr>
          <w:p w:rsidR="00567C3E" w:rsidRPr="007F3354" w:rsidRDefault="00C75C32" w:rsidP="00D32FA7">
            <w:pPr>
              <w:spacing w:after="0"/>
              <w:jc w:val="center"/>
              <w:rPr>
                <w:rFonts w:ascii="Garamond" w:hAnsi="Garamond" w:cs="Arial"/>
                <w:b/>
                <w:color w:val="000000"/>
                <w:sz w:val="28"/>
                <w:szCs w:val="28"/>
              </w:rPr>
            </w:pPr>
            <w:r>
              <w:rPr>
                <w:rFonts w:ascii="Garamond" w:hAnsi="Garamond" w:cs="Arial"/>
                <w:b/>
                <w:color w:val="000000"/>
                <w:sz w:val="28"/>
                <w:szCs w:val="28"/>
              </w:rPr>
              <w:t>33,60</w:t>
            </w:r>
            <w:r w:rsidR="00567C3E" w:rsidRPr="007F3354">
              <w:rPr>
                <w:rFonts w:ascii="Garamond" w:hAnsi="Garamond" w:cs="Arial"/>
                <w:b/>
                <w:color w:val="000000"/>
                <w:sz w:val="28"/>
                <w:szCs w:val="28"/>
              </w:rPr>
              <w:t>%</w:t>
            </w:r>
          </w:p>
        </w:tc>
      </w:tr>
      <w:tr w:rsidR="00567C3E" w:rsidRPr="001534A8" w:rsidTr="00D32FA7">
        <w:trPr>
          <w:trHeight w:val="359"/>
          <w:jc w:val="center"/>
        </w:trPr>
        <w:tc>
          <w:tcPr>
            <w:tcW w:w="2783" w:type="dxa"/>
          </w:tcPr>
          <w:p w:rsidR="00567C3E" w:rsidRPr="001534A8" w:rsidRDefault="00567C3E" w:rsidP="00D32FA7">
            <w:pPr>
              <w:spacing w:after="0"/>
              <w:jc w:val="center"/>
              <w:rPr>
                <w:rFonts w:ascii="Garamond" w:hAnsi="Garamond"/>
                <w:sz w:val="20"/>
                <w:szCs w:val="20"/>
              </w:rPr>
            </w:pPr>
          </w:p>
        </w:tc>
        <w:tc>
          <w:tcPr>
            <w:tcW w:w="2037" w:type="dxa"/>
          </w:tcPr>
          <w:p w:rsidR="00567C3E" w:rsidRPr="007F3354" w:rsidRDefault="00567C3E" w:rsidP="00D32FA7">
            <w:pPr>
              <w:spacing w:after="0"/>
              <w:jc w:val="center"/>
              <w:rPr>
                <w:rFonts w:ascii="Garamond" w:hAnsi="Garamond"/>
                <w:color w:val="000000" w:themeColor="text1"/>
                <w:sz w:val="28"/>
                <w:szCs w:val="28"/>
              </w:rPr>
            </w:pPr>
          </w:p>
        </w:tc>
        <w:tc>
          <w:tcPr>
            <w:tcW w:w="1306" w:type="dxa"/>
          </w:tcPr>
          <w:p w:rsidR="00567C3E" w:rsidRPr="001534A8" w:rsidRDefault="00567C3E" w:rsidP="00D32FA7">
            <w:pPr>
              <w:spacing w:after="0"/>
              <w:jc w:val="center"/>
              <w:rPr>
                <w:rFonts w:ascii="Garamond" w:hAnsi="Garamond"/>
                <w:sz w:val="20"/>
                <w:szCs w:val="20"/>
              </w:rPr>
            </w:pPr>
          </w:p>
        </w:tc>
      </w:tr>
      <w:tr w:rsidR="00567C3E" w:rsidRPr="001534A8" w:rsidTr="00D32FA7">
        <w:trPr>
          <w:trHeight w:val="956"/>
          <w:jc w:val="center"/>
        </w:trPr>
        <w:tc>
          <w:tcPr>
            <w:tcW w:w="2783" w:type="dxa"/>
            <w:shd w:val="clear" w:color="auto" w:fill="E6DBEF"/>
          </w:tcPr>
          <w:p w:rsidR="00567C3E" w:rsidRPr="007F3354" w:rsidRDefault="00567C3E" w:rsidP="00D32FA7">
            <w:pPr>
              <w:spacing w:after="0"/>
              <w:jc w:val="center"/>
              <w:rPr>
                <w:rFonts w:ascii="Garamond" w:hAnsi="Garamond"/>
                <w:b/>
                <w:sz w:val="28"/>
                <w:szCs w:val="28"/>
              </w:rPr>
            </w:pPr>
            <w:r w:rsidRPr="007F3354">
              <w:rPr>
                <w:rFonts w:ascii="Garamond" w:hAnsi="Garamond"/>
                <w:b/>
                <w:sz w:val="28"/>
                <w:szCs w:val="28"/>
              </w:rPr>
              <w:t>Całkowita wartość projektów</w:t>
            </w:r>
          </w:p>
        </w:tc>
        <w:tc>
          <w:tcPr>
            <w:tcW w:w="2037" w:type="dxa"/>
            <w:shd w:val="clear" w:color="auto" w:fill="E6DBEF"/>
          </w:tcPr>
          <w:p w:rsidR="00567C3E" w:rsidRPr="007F3354" w:rsidRDefault="00A643C5" w:rsidP="00D32FA7">
            <w:pPr>
              <w:jc w:val="center"/>
              <w:rPr>
                <w:rFonts w:ascii="Calibri" w:hAnsi="Calibri"/>
                <w:b/>
                <w:color w:val="000000" w:themeColor="text1"/>
                <w:sz w:val="28"/>
                <w:szCs w:val="28"/>
              </w:rPr>
            </w:pPr>
            <w:r>
              <w:rPr>
                <w:rFonts w:ascii="Calibri" w:hAnsi="Calibri"/>
                <w:b/>
                <w:color w:val="000000" w:themeColor="text1"/>
                <w:sz w:val="28"/>
                <w:szCs w:val="28"/>
              </w:rPr>
              <w:t>4</w:t>
            </w:r>
            <w:r w:rsidR="00C75C32">
              <w:rPr>
                <w:rFonts w:ascii="Calibri" w:hAnsi="Calibri"/>
                <w:b/>
                <w:color w:val="000000" w:themeColor="text1"/>
                <w:sz w:val="28"/>
                <w:szCs w:val="28"/>
              </w:rPr>
              <w:t>3 860 351</w:t>
            </w:r>
          </w:p>
          <w:p w:rsidR="00567C3E" w:rsidRPr="007F3354" w:rsidRDefault="00567C3E" w:rsidP="00D32FA7">
            <w:pPr>
              <w:spacing w:after="0"/>
              <w:jc w:val="center"/>
              <w:rPr>
                <w:rFonts w:ascii="Garamond" w:hAnsi="Garamond"/>
                <w:b/>
                <w:color w:val="000000" w:themeColor="text1"/>
                <w:sz w:val="28"/>
                <w:szCs w:val="28"/>
              </w:rPr>
            </w:pPr>
          </w:p>
        </w:tc>
        <w:tc>
          <w:tcPr>
            <w:tcW w:w="1306" w:type="dxa"/>
            <w:shd w:val="clear" w:color="auto" w:fill="E6DBEF"/>
          </w:tcPr>
          <w:p w:rsidR="00567C3E" w:rsidRPr="007F3354" w:rsidRDefault="00E40D4F" w:rsidP="00D32FA7">
            <w:pPr>
              <w:spacing w:after="0"/>
              <w:jc w:val="center"/>
              <w:rPr>
                <w:rFonts w:ascii="Garamond" w:hAnsi="Garamond" w:cs="Arial"/>
                <w:b/>
                <w:color w:val="000000"/>
                <w:sz w:val="28"/>
                <w:szCs w:val="28"/>
              </w:rPr>
            </w:pPr>
            <w:r>
              <w:rPr>
                <w:rFonts w:ascii="Garamond" w:hAnsi="Garamond" w:cs="Arial"/>
                <w:b/>
                <w:color w:val="000000"/>
                <w:sz w:val="28"/>
                <w:szCs w:val="28"/>
              </w:rPr>
              <w:t>100</w:t>
            </w:r>
            <w:r w:rsidR="00567C3E" w:rsidRPr="007F3354">
              <w:rPr>
                <w:rFonts w:ascii="Garamond" w:hAnsi="Garamond" w:cs="Arial"/>
                <w:b/>
                <w:color w:val="000000"/>
                <w:sz w:val="28"/>
                <w:szCs w:val="28"/>
              </w:rPr>
              <w:t>%</w:t>
            </w:r>
          </w:p>
        </w:tc>
      </w:tr>
    </w:tbl>
    <w:p w:rsidR="00567C3E" w:rsidRDefault="00567C3E" w:rsidP="00567C3E">
      <w:pPr>
        <w:spacing w:before="120"/>
        <w:rPr>
          <w:rFonts w:ascii="Garamond" w:hAnsi="Garamond"/>
          <w:i/>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Default="00567C3E"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Default="00FD21A4" w:rsidP="00567C3E">
      <w:pPr>
        <w:spacing w:before="120"/>
        <w:rPr>
          <w:rFonts w:ascii="Garamond" w:hAnsi="Garamond"/>
          <w:sz w:val="20"/>
          <w:szCs w:val="16"/>
        </w:rPr>
      </w:pPr>
    </w:p>
    <w:p w:rsidR="00FD21A4" w:rsidRPr="001534A8" w:rsidRDefault="00FD21A4" w:rsidP="00567C3E">
      <w:pPr>
        <w:spacing w:before="120"/>
        <w:rPr>
          <w:rFonts w:ascii="Garamond" w:hAnsi="Garamond"/>
          <w:sz w:val="20"/>
          <w:szCs w:val="16"/>
        </w:rPr>
      </w:pPr>
    </w:p>
    <w:p w:rsidR="00D7096F" w:rsidRPr="00E645E3" w:rsidRDefault="00567C3E" w:rsidP="00D7096F">
      <w:pPr>
        <w:pStyle w:val="T"/>
        <w:rPr>
          <w:color w:val="7030A0"/>
        </w:rPr>
      </w:pPr>
      <w:bookmarkStart w:id="103" w:name="_Toc430872028"/>
      <w:r w:rsidRPr="00E645E3">
        <w:rPr>
          <w:color w:val="7030A0"/>
        </w:rPr>
        <w:lastRenderedPageBreak/>
        <w:t>Tabela 46. Wartość projektów z listy podstawowej w podziale na Priorytety Inwestycyjne w ramach RPO WK-P 2014-2020</w:t>
      </w:r>
      <w:bookmarkEnd w:id="103"/>
      <w:r w:rsidR="00D7096F" w:rsidRPr="00E645E3">
        <w:rPr>
          <w:color w:val="7030A0"/>
        </w:rPr>
        <w:t>- aktualiz</w:t>
      </w:r>
      <w:r w:rsidR="007077A8">
        <w:rPr>
          <w:color w:val="7030A0"/>
        </w:rPr>
        <w:t>acja S</w:t>
      </w:r>
      <w:r w:rsidR="00FD21A4">
        <w:rPr>
          <w:color w:val="7030A0"/>
        </w:rPr>
        <w:t>trategii ORSG w dniu 11 maja</w:t>
      </w:r>
      <w:r w:rsidR="005F0BE6">
        <w:rPr>
          <w:color w:val="7030A0"/>
        </w:rPr>
        <w:t xml:space="preserve"> 201</w:t>
      </w:r>
      <w:r w:rsidR="00FD21A4">
        <w:rPr>
          <w:color w:val="7030A0"/>
        </w:rPr>
        <w:t>8r. uchwałą nr XXI</w:t>
      </w:r>
      <w:r w:rsidR="003D0D04">
        <w:rPr>
          <w:color w:val="7030A0"/>
        </w:rPr>
        <w:t>/31</w:t>
      </w:r>
      <w:r w:rsidR="00D7096F" w:rsidRPr="00E645E3">
        <w:rPr>
          <w:color w:val="7030A0"/>
        </w:rPr>
        <w:t>/201</w:t>
      </w:r>
      <w:r w:rsidR="007077A8">
        <w:rPr>
          <w:color w:val="7030A0"/>
        </w:rPr>
        <w:t>8</w:t>
      </w:r>
      <w:r w:rsidR="00D7096F" w:rsidRPr="00E645E3">
        <w:rPr>
          <w:color w:val="7030A0"/>
        </w:rPr>
        <w:t xml:space="preserve"> Komitetu Sterującego ORSG Powiatu Brodnickiego.</w:t>
      </w:r>
    </w:p>
    <w:p w:rsidR="00567C3E" w:rsidRPr="001534A8" w:rsidRDefault="00567C3E" w:rsidP="00567C3E">
      <w:pPr>
        <w:pStyle w:val="T"/>
      </w:pP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761"/>
        <w:gridCol w:w="2178"/>
        <w:gridCol w:w="2028"/>
      </w:tblGrid>
      <w:tr w:rsidR="005F0BE6" w:rsidRPr="001534A8" w:rsidTr="00896514">
        <w:trPr>
          <w:trHeight w:val="763"/>
          <w:jc w:val="center"/>
        </w:trPr>
        <w:tc>
          <w:tcPr>
            <w:tcW w:w="2761" w:type="dxa"/>
            <w:tcBorders>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Priorytet inwestycyjny w ramach RPO WK-P 2014-2020</w:t>
            </w:r>
          </w:p>
        </w:tc>
        <w:tc>
          <w:tcPr>
            <w:tcW w:w="2178" w:type="dxa"/>
            <w:tcBorders>
              <w:left w:val="single" w:sz="4" w:space="0" w:color="FFFFFF" w:themeColor="background1"/>
              <w:right w:val="single" w:sz="4" w:space="0" w:color="FFFFFF" w:themeColor="background1"/>
            </w:tcBorders>
            <w:shd w:val="clear" w:color="auto" w:fill="824BB0"/>
            <w:vAlign w:val="center"/>
          </w:tcPr>
          <w:p w:rsidR="005F0BE6" w:rsidRPr="001534A8" w:rsidRDefault="005F0BE6" w:rsidP="00D32FA7">
            <w:pPr>
              <w:spacing w:after="0"/>
              <w:jc w:val="center"/>
              <w:rPr>
                <w:rFonts w:ascii="Garamond" w:hAnsi="Garamond"/>
                <w:b/>
                <w:color w:val="FFFFFF" w:themeColor="background1"/>
                <w:sz w:val="20"/>
                <w:szCs w:val="20"/>
              </w:rPr>
            </w:pPr>
            <w:r w:rsidRPr="001534A8">
              <w:rPr>
                <w:rFonts w:ascii="Garamond" w:hAnsi="Garamond"/>
                <w:b/>
                <w:color w:val="FFFFFF" w:themeColor="background1"/>
                <w:sz w:val="20"/>
                <w:szCs w:val="20"/>
              </w:rPr>
              <w:t xml:space="preserve">Wartość </w:t>
            </w:r>
            <w:r>
              <w:rPr>
                <w:rFonts w:ascii="Garamond" w:hAnsi="Garamond"/>
                <w:b/>
                <w:color w:val="FFFFFF" w:themeColor="background1"/>
                <w:sz w:val="20"/>
                <w:szCs w:val="20"/>
              </w:rPr>
              <w:t xml:space="preserve">całkowita </w:t>
            </w:r>
            <w:r w:rsidRPr="001534A8">
              <w:rPr>
                <w:rFonts w:ascii="Garamond" w:hAnsi="Garamond"/>
                <w:b/>
                <w:color w:val="FFFFFF" w:themeColor="background1"/>
                <w:sz w:val="20"/>
                <w:szCs w:val="20"/>
              </w:rPr>
              <w:t>w zł</w:t>
            </w:r>
          </w:p>
        </w:tc>
        <w:tc>
          <w:tcPr>
            <w:tcW w:w="2028" w:type="dxa"/>
            <w:tcBorders>
              <w:left w:val="single" w:sz="4" w:space="0" w:color="FFFFFF" w:themeColor="background1"/>
              <w:right w:val="single" w:sz="4" w:space="0" w:color="FFFFFF" w:themeColor="background1"/>
            </w:tcBorders>
            <w:shd w:val="clear" w:color="auto" w:fill="824BB0"/>
          </w:tcPr>
          <w:p w:rsidR="005F0BE6" w:rsidRPr="001534A8" w:rsidRDefault="005F0BE6" w:rsidP="00D32FA7">
            <w:pPr>
              <w:spacing w:after="0"/>
              <w:jc w:val="center"/>
              <w:rPr>
                <w:rFonts w:ascii="Garamond" w:hAnsi="Garamond"/>
                <w:b/>
                <w:color w:val="FFFFFF" w:themeColor="background1"/>
                <w:sz w:val="20"/>
                <w:szCs w:val="20"/>
              </w:rPr>
            </w:pPr>
            <w:r>
              <w:rPr>
                <w:rFonts w:ascii="Garamond" w:hAnsi="Garamond"/>
                <w:b/>
                <w:color w:val="FFFFFF" w:themeColor="background1"/>
                <w:sz w:val="20"/>
                <w:szCs w:val="20"/>
              </w:rPr>
              <w:t>Wartość dofinansowania w zł</w:t>
            </w:r>
          </w:p>
        </w:tc>
      </w:tr>
      <w:tr w:rsidR="005F0BE6" w:rsidRPr="001534A8" w:rsidTr="00896514">
        <w:trPr>
          <w:trHeight w:val="255"/>
          <w:jc w:val="center"/>
        </w:trPr>
        <w:tc>
          <w:tcPr>
            <w:tcW w:w="2761" w:type="dxa"/>
          </w:tcPr>
          <w:p w:rsidR="005F0BE6" w:rsidRPr="001534A8" w:rsidRDefault="005F0BE6" w:rsidP="00D32FA7">
            <w:pPr>
              <w:spacing w:after="0"/>
              <w:rPr>
                <w:rFonts w:ascii="Garamond" w:hAnsi="Garamond"/>
                <w:sz w:val="20"/>
                <w:szCs w:val="20"/>
              </w:rPr>
            </w:pPr>
          </w:p>
        </w:tc>
        <w:tc>
          <w:tcPr>
            <w:tcW w:w="2178" w:type="dxa"/>
          </w:tcPr>
          <w:p w:rsidR="005F0BE6" w:rsidRPr="001534A8" w:rsidRDefault="005F0BE6" w:rsidP="00D32FA7">
            <w:pPr>
              <w:spacing w:after="0"/>
              <w:rPr>
                <w:rFonts w:ascii="Garamond" w:hAnsi="Garamond"/>
                <w:sz w:val="20"/>
                <w:szCs w:val="20"/>
              </w:rPr>
            </w:pPr>
          </w:p>
        </w:tc>
        <w:tc>
          <w:tcPr>
            <w:tcW w:w="2028" w:type="dxa"/>
          </w:tcPr>
          <w:p w:rsidR="005F0BE6" w:rsidRPr="001534A8" w:rsidRDefault="005F0BE6" w:rsidP="00D32FA7">
            <w:pPr>
              <w:spacing w:after="0"/>
              <w:rPr>
                <w:rFonts w:ascii="Garamond" w:hAnsi="Garamond"/>
                <w:sz w:val="20"/>
                <w:szCs w:val="20"/>
              </w:rPr>
            </w:pP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4c</w:t>
            </w:r>
          </w:p>
        </w:tc>
        <w:tc>
          <w:tcPr>
            <w:tcW w:w="2178" w:type="dxa"/>
            <w:shd w:val="clear" w:color="auto" w:fill="EFE6D5"/>
            <w:vAlign w:val="bottom"/>
          </w:tcPr>
          <w:p w:rsidR="005F0BE6" w:rsidRPr="00847278" w:rsidRDefault="00847278" w:rsidP="005F0BE6">
            <w:pPr>
              <w:spacing w:line="240" w:lineRule="auto"/>
              <w:jc w:val="right"/>
              <w:rPr>
                <w:rFonts w:ascii="Calibri" w:hAnsi="Calibri"/>
                <w:sz w:val="28"/>
                <w:szCs w:val="28"/>
              </w:rPr>
            </w:pPr>
            <w:r w:rsidRPr="00847278">
              <w:rPr>
                <w:rFonts w:ascii="Garamond" w:hAnsi="Garamond" w:cs="Arial"/>
                <w:b/>
                <w:sz w:val="28"/>
                <w:szCs w:val="28"/>
              </w:rPr>
              <w:t>15 973 772,26</w:t>
            </w:r>
          </w:p>
        </w:tc>
        <w:tc>
          <w:tcPr>
            <w:tcW w:w="2028" w:type="dxa"/>
            <w:shd w:val="clear" w:color="auto" w:fill="EFE6D5"/>
          </w:tcPr>
          <w:p w:rsidR="005F0BE6" w:rsidRPr="00847278" w:rsidRDefault="00847278" w:rsidP="005F0BE6">
            <w:pPr>
              <w:spacing w:line="240" w:lineRule="auto"/>
              <w:jc w:val="center"/>
              <w:rPr>
                <w:rFonts w:ascii="Calibri" w:hAnsi="Calibri"/>
                <w:sz w:val="28"/>
                <w:szCs w:val="28"/>
              </w:rPr>
            </w:pPr>
            <w:r w:rsidRPr="00847278">
              <w:rPr>
                <w:rFonts w:ascii="Garamond" w:eastAsia="Times New Roman" w:hAnsi="Garamond" w:cs="Arial"/>
                <w:b/>
                <w:bCs/>
                <w:sz w:val="28"/>
                <w:szCs w:val="28"/>
              </w:rPr>
              <w:t>11 092 442,97</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3"/>
              </w:numPr>
              <w:spacing w:after="0" w:line="240" w:lineRule="auto"/>
              <w:rPr>
                <w:rFonts w:ascii="Garamond" w:hAnsi="Garamond"/>
                <w:sz w:val="28"/>
                <w:szCs w:val="28"/>
              </w:rPr>
            </w:pPr>
            <w:r w:rsidRPr="00F85233">
              <w:rPr>
                <w:rFonts w:ascii="Garamond" w:hAnsi="Garamond"/>
                <w:sz w:val="28"/>
                <w:szCs w:val="28"/>
              </w:rPr>
              <w:t>4e</w:t>
            </w:r>
          </w:p>
        </w:tc>
        <w:tc>
          <w:tcPr>
            <w:tcW w:w="2178" w:type="dxa"/>
            <w:shd w:val="clear" w:color="auto" w:fill="EFE6D5"/>
            <w:vAlign w:val="bottom"/>
          </w:tcPr>
          <w:p w:rsidR="005F0BE6" w:rsidRPr="00847278" w:rsidRDefault="005F0BE6" w:rsidP="00D32FA7">
            <w:pPr>
              <w:spacing w:line="240" w:lineRule="auto"/>
              <w:jc w:val="right"/>
              <w:rPr>
                <w:rFonts w:ascii="Calibri" w:hAnsi="Calibri"/>
                <w:sz w:val="28"/>
                <w:szCs w:val="28"/>
              </w:rPr>
            </w:pPr>
            <w:r w:rsidRPr="00847278">
              <w:rPr>
                <w:rFonts w:ascii="Calibri" w:hAnsi="Calibri"/>
                <w:sz w:val="28"/>
                <w:szCs w:val="28"/>
              </w:rPr>
              <w:t>14 774 653,31</w:t>
            </w:r>
          </w:p>
        </w:tc>
        <w:tc>
          <w:tcPr>
            <w:tcW w:w="2028" w:type="dxa"/>
            <w:shd w:val="clear" w:color="auto" w:fill="EFE6D5"/>
          </w:tcPr>
          <w:p w:rsidR="005F0BE6" w:rsidRPr="00847278" w:rsidRDefault="005F0BE6" w:rsidP="00D32FA7">
            <w:pPr>
              <w:spacing w:line="240" w:lineRule="auto"/>
              <w:jc w:val="right"/>
              <w:rPr>
                <w:rFonts w:ascii="Calibri" w:hAnsi="Calibri"/>
                <w:sz w:val="28"/>
                <w:szCs w:val="28"/>
              </w:rPr>
            </w:pPr>
            <w:r w:rsidRPr="00847278">
              <w:rPr>
                <w:rFonts w:ascii="Calibri" w:hAnsi="Calibri"/>
                <w:sz w:val="28"/>
                <w:szCs w:val="28"/>
              </w:rPr>
              <w:t>8 712 114,91</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6b</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6c</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1 116 000,00</w:t>
            </w:r>
          </w:p>
        </w:tc>
        <w:tc>
          <w:tcPr>
            <w:tcW w:w="2028" w:type="dxa"/>
            <w:shd w:val="clear" w:color="auto" w:fill="EFE6D5"/>
          </w:tcPr>
          <w:p w:rsidR="005F0BE6" w:rsidRDefault="005F0BE6" w:rsidP="00D32FA7">
            <w:pPr>
              <w:spacing w:line="240" w:lineRule="auto"/>
              <w:jc w:val="right"/>
              <w:rPr>
                <w:rFonts w:ascii="Calibri" w:hAnsi="Calibri"/>
                <w:color w:val="000000"/>
                <w:sz w:val="28"/>
                <w:szCs w:val="28"/>
              </w:rPr>
            </w:pPr>
            <w:r>
              <w:rPr>
                <w:rFonts w:ascii="Calibri" w:hAnsi="Calibri"/>
                <w:color w:val="000000"/>
                <w:sz w:val="28"/>
                <w:szCs w:val="28"/>
              </w:rPr>
              <w:t>948 600,00</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9b</w:t>
            </w:r>
          </w:p>
        </w:tc>
        <w:tc>
          <w:tcPr>
            <w:tcW w:w="2178" w:type="dxa"/>
            <w:shd w:val="clear" w:color="auto" w:fill="EFE6D5"/>
            <w:vAlign w:val="bottom"/>
          </w:tcPr>
          <w:p w:rsidR="005F0BE6" w:rsidRPr="00F85233" w:rsidRDefault="003A205D" w:rsidP="00D32FA7">
            <w:pPr>
              <w:spacing w:line="240" w:lineRule="auto"/>
              <w:jc w:val="right"/>
              <w:rPr>
                <w:rFonts w:ascii="Calibri" w:hAnsi="Calibri"/>
                <w:color w:val="000000"/>
                <w:sz w:val="28"/>
                <w:szCs w:val="28"/>
              </w:rPr>
            </w:pPr>
            <w:r>
              <w:rPr>
                <w:rFonts w:ascii="Calibri" w:hAnsi="Calibri"/>
                <w:color w:val="000000"/>
                <w:sz w:val="28"/>
                <w:szCs w:val="28"/>
              </w:rPr>
              <w:t>3 722 000</w:t>
            </w:r>
            <w:r w:rsidR="005F0BE6">
              <w:rPr>
                <w:rFonts w:ascii="Calibri" w:hAnsi="Calibri"/>
                <w:color w:val="000000"/>
                <w:sz w:val="28"/>
                <w:szCs w:val="28"/>
              </w:rPr>
              <w:t>,00</w:t>
            </w:r>
          </w:p>
        </w:tc>
        <w:tc>
          <w:tcPr>
            <w:tcW w:w="2028" w:type="dxa"/>
            <w:shd w:val="clear" w:color="auto" w:fill="EFE6D5"/>
          </w:tcPr>
          <w:p w:rsidR="005F0BE6" w:rsidRPr="00F85233" w:rsidRDefault="003A205D" w:rsidP="003A205D">
            <w:pPr>
              <w:spacing w:line="240" w:lineRule="auto"/>
              <w:jc w:val="right"/>
              <w:rPr>
                <w:rFonts w:ascii="Calibri" w:hAnsi="Calibri"/>
                <w:color w:val="000000"/>
                <w:sz w:val="28"/>
                <w:szCs w:val="28"/>
              </w:rPr>
            </w:pPr>
            <w:r>
              <w:rPr>
                <w:rFonts w:ascii="Calibri" w:hAnsi="Calibri"/>
                <w:color w:val="000000"/>
                <w:sz w:val="28"/>
                <w:szCs w:val="28"/>
              </w:rPr>
              <w:t>3 163 500</w:t>
            </w:r>
            <w:r w:rsidR="005F0BE6">
              <w:rPr>
                <w:rFonts w:ascii="Calibri" w:hAnsi="Calibri"/>
                <w:color w:val="000000"/>
                <w:sz w:val="28"/>
                <w:szCs w:val="28"/>
              </w:rPr>
              <w:t>,00</w:t>
            </w:r>
          </w:p>
        </w:tc>
      </w:tr>
      <w:tr w:rsidR="005F0BE6" w:rsidRPr="001534A8"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10a</w:t>
            </w:r>
            <w:r>
              <w:rPr>
                <w:rFonts w:ascii="Garamond" w:hAnsi="Garamond" w:cs="Arial"/>
                <w:color w:val="000000"/>
                <w:sz w:val="28"/>
                <w:szCs w:val="28"/>
              </w:rPr>
              <w:t xml:space="preserve"> </w:t>
            </w:r>
            <w:r w:rsidR="005F65B2">
              <w:rPr>
                <w:rFonts w:ascii="Garamond" w:hAnsi="Garamond" w:cs="Arial"/>
                <w:color w:val="000000"/>
                <w:sz w:val="28"/>
                <w:szCs w:val="28"/>
              </w:rPr>
              <w:t>Poddziałanie 6.3.2</w:t>
            </w:r>
          </w:p>
        </w:tc>
        <w:tc>
          <w:tcPr>
            <w:tcW w:w="2178" w:type="dxa"/>
            <w:shd w:val="clear" w:color="auto" w:fill="EFE6D5"/>
            <w:vAlign w:val="bottom"/>
          </w:tcPr>
          <w:p w:rsidR="005F65B2" w:rsidRPr="00847278" w:rsidRDefault="005F65B2" w:rsidP="00D32FA7">
            <w:pPr>
              <w:spacing w:line="240" w:lineRule="auto"/>
              <w:jc w:val="right"/>
              <w:rPr>
                <w:rFonts w:ascii="Calibri" w:hAnsi="Calibri"/>
                <w:sz w:val="28"/>
                <w:szCs w:val="28"/>
              </w:rPr>
            </w:pPr>
          </w:p>
          <w:p w:rsidR="005F0BE6" w:rsidRPr="00847278" w:rsidRDefault="005F65B2" w:rsidP="00D32FA7">
            <w:pPr>
              <w:spacing w:line="240" w:lineRule="auto"/>
              <w:jc w:val="right"/>
              <w:rPr>
                <w:rFonts w:ascii="Calibri" w:hAnsi="Calibri"/>
                <w:sz w:val="28"/>
                <w:szCs w:val="28"/>
              </w:rPr>
            </w:pPr>
            <w:r w:rsidRPr="00847278">
              <w:rPr>
                <w:rFonts w:ascii="Calibri" w:hAnsi="Calibri"/>
                <w:sz w:val="28"/>
                <w:szCs w:val="28"/>
              </w:rPr>
              <w:t>2 500 000,00</w:t>
            </w:r>
          </w:p>
        </w:tc>
        <w:tc>
          <w:tcPr>
            <w:tcW w:w="2028" w:type="dxa"/>
            <w:shd w:val="clear" w:color="auto" w:fill="EFE6D5"/>
          </w:tcPr>
          <w:p w:rsidR="005F0BE6" w:rsidRPr="00847278" w:rsidRDefault="005F0BE6" w:rsidP="00D32FA7">
            <w:pPr>
              <w:spacing w:line="240" w:lineRule="auto"/>
              <w:jc w:val="right"/>
              <w:rPr>
                <w:rFonts w:ascii="Calibri" w:hAnsi="Calibri"/>
                <w:sz w:val="28"/>
                <w:szCs w:val="28"/>
              </w:rPr>
            </w:pPr>
          </w:p>
          <w:p w:rsidR="005F0BE6" w:rsidRPr="00847278" w:rsidRDefault="005F65B2" w:rsidP="00D32FA7">
            <w:pPr>
              <w:spacing w:line="240" w:lineRule="auto"/>
              <w:jc w:val="right"/>
              <w:rPr>
                <w:rFonts w:ascii="Calibri" w:hAnsi="Calibri"/>
                <w:sz w:val="28"/>
                <w:szCs w:val="28"/>
              </w:rPr>
            </w:pPr>
            <w:r w:rsidRPr="00847278">
              <w:rPr>
                <w:rFonts w:ascii="Calibri" w:hAnsi="Calibri"/>
                <w:sz w:val="28"/>
                <w:szCs w:val="28"/>
              </w:rPr>
              <w:t>1 725 000,00</w:t>
            </w:r>
          </w:p>
        </w:tc>
      </w:tr>
      <w:tr w:rsidR="005F65B2" w:rsidRPr="001534A8" w:rsidTr="00896514">
        <w:trPr>
          <w:trHeight w:val="539"/>
          <w:jc w:val="center"/>
        </w:trPr>
        <w:tc>
          <w:tcPr>
            <w:tcW w:w="2761" w:type="dxa"/>
            <w:shd w:val="clear" w:color="auto" w:fill="EFE6D5"/>
            <w:vAlign w:val="center"/>
          </w:tcPr>
          <w:p w:rsidR="005F65B2" w:rsidRPr="00F85233" w:rsidRDefault="005F65B2" w:rsidP="001C63AE">
            <w:pPr>
              <w:pStyle w:val="Akapitzlist"/>
              <w:numPr>
                <w:ilvl w:val="0"/>
                <w:numId w:val="54"/>
              </w:numPr>
              <w:spacing w:after="0" w:line="240" w:lineRule="auto"/>
              <w:rPr>
                <w:rFonts w:ascii="Garamond" w:hAnsi="Garamond" w:cs="Arial"/>
                <w:color w:val="000000"/>
                <w:sz w:val="28"/>
                <w:szCs w:val="28"/>
              </w:rPr>
            </w:pPr>
            <w:r>
              <w:rPr>
                <w:rFonts w:ascii="Garamond" w:hAnsi="Garamond" w:cs="Arial"/>
                <w:color w:val="000000"/>
                <w:sz w:val="28"/>
                <w:szCs w:val="28"/>
              </w:rPr>
              <w:t>10a Poddziałanie 6.3.1.</w:t>
            </w:r>
          </w:p>
        </w:tc>
        <w:tc>
          <w:tcPr>
            <w:tcW w:w="2178" w:type="dxa"/>
            <w:shd w:val="clear" w:color="auto" w:fill="EFE6D5"/>
            <w:vAlign w:val="bottom"/>
          </w:tcPr>
          <w:p w:rsidR="005F65B2" w:rsidRPr="00847278" w:rsidRDefault="005F65B2" w:rsidP="00D32FA7">
            <w:pPr>
              <w:spacing w:line="240" w:lineRule="auto"/>
              <w:jc w:val="right"/>
              <w:rPr>
                <w:rFonts w:ascii="Calibri" w:hAnsi="Calibri"/>
                <w:sz w:val="28"/>
                <w:szCs w:val="28"/>
              </w:rPr>
            </w:pPr>
            <w:r w:rsidRPr="00847278">
              <w:rPr>
                <w:rFonts w:ascii="Calibri" w:hAnsi="Calibri"/>
                <w:sz w:val="28"/>
                <w:szCs w:val="28"/>
              </w:rPr>
              <w:t>2</w:t>
            </w:r>
            <w:r w:rsidR="00712433" w:rsidRPr="00847278">
              <w:rPr>
                <w:rFonts w:ascii="Calibri" w:hAnsi="Calibri"/>
                <w:sz w:val="28"/>
                <w:szCs w:val="28"/>
              </w:rPr>
              <w:t> 402 808,62</w:t>
            </w:r>
          </w:p>
        </w:tc>
        <w:tc>
          <w:tcPr>
            <w:tcW w:w="2028" w:type="dxa"/>
            <w:shd w:val="clear" w:color="auto" w:fill="EFE6D5"/>
          </w:tcPr>
          <w:p w:rsidR="005F65B2" w:rsidRPr="00847278" w:rsidRDefault="005F65B2" w:rsidP="00D32FA7">
            <w:pPr>
              <w:spacing w:line="240" w:lineRule="auto"/>
              <w:jc w:val="right"/>
              <w:rPr>
                <w:rFonts w:ascii="Calibri" w:hAnsi="Calibri"/>
                <w:sz w:val="28"/>
                <w:szCs w:val="28"/>
              </w:rPr>
            </w:pPr>
            <w:r w:rsidRPr="00847278">
              <w:rPr>
                <w:rFonts w:ascii="Calibri" w:hAnsi="Calibri"/>
                <w:sz w:val="28"/>
                <w:szCs w:val="28"/>
              </w:rPr>
              <w:t>1 447 897,33</w:t>
            </w:r>
          </w:p>
        </w:tc>
      </w:tr>
      <w:tr w:rsidR="005F0BE6" w:rsidRPr="001534A8"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8iv</w:t>
            </w:r>
          </w:p>
        </w:tc>
        <w:tc>
          <w:tcPr>
            <w:tcW w:w="2178" w:type="dxa"/>
            <w:shd w:val="clear" w:color="auto" w:fill="EFE6D5"/>
            <w:vAlign w:val="bottom"/>
          </w:tcPr>
          <w:p w:rsidR="005F0BE6" w:rsidRPr="00F85233" w:rsidRDefault="005F0BE6" w:rsidP="00D32FA7">
            <w:pPr>
              <w:spacing w:line="240" w:lineRule="auto"/>
              <w:jc w:val="right"/>
              <w:rPr>
                <w:rFonts w:ascii="Calibri" w:hAnsi="Calibri"/>
                <w:color w:val="000000"/>
                <w:sz w:val="28"/>
                <w:szCs w:val="28"/>
              </w:rPr>
            </w:pPr>
            <w:r w:rsidRPr="00F85233">
              <w:rPr>
                <w:rFonts w:ascii="Calibri" w:hAnsi="Calibri"/>
                <w:color w:val="000000"/>
                <w:sz w:val="28"/>
                <w:szCs w:val="28"/>
              </w:rPr>
              <w:t>0,00</w:t>
            </w:r>
          </w:p>
        </w:tc>
        <w:tc>
          <w:tcPr>
            <w:tcW w:w="2028" w:type="dxa"/>
            <w:shd w:val="clear" w:color="auto" w:fill="EFE6D5"/>
          </w:tcPr>
          <w:p w:rsidR="005F0BE6" w:rsidRPr="00F85233" w:rsidRDefault="005F0BE6" w:rsidP="00D32FA7">
            <w:pPr>
              <w:spacing w:line="240" w:lineRule="auto"/>
              <w:jc w:val="right"/>
              <w:rPr>
                <w:rFonts w:ascii="Calibri" w:hAnsi="Calibri"/>
                <w:color w:val="000000"/>
                <w:sz w:val="28"/>
                <w:szCs w:val="28"/>
              </w:rPr>
            </w:pPr>
            <w:r>
              <w:rPr>
                <w:rFonts w:ascii="Calibri" w:hAnsi="Calibri"/>
                <w:color w:val="000000"/>
                <w:sz w:val="28"/>
                <w:szCs w:val="28"/>
              </w:rPr>
              <w:t>0,00</w:t>
            </w:r>
          </w:p>
        </w:tc>
      </w:tr>
      <w:tr w:rsidR="005F0BE6" w:rsidRPr="001534A8" w:rsidTr="00896514">
        <w:trPr>
          <w:trHeight w:val="524"/>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w:t>
            </w:r>
          </w:p>
        </w:tc>
        <w:tc>
          <w:tcPr>
            <w:tcW w:w="2178" w:type="dxa"/>
            <w:shd w:val="clear" w:color="auto" w:fill="EFE6D5"/>
            <w:vAlign w:val="bottom"/>
          </w:tcPr>
          <w:p w:rsidR="005F0BE6" w:rsidRPr="00F85233" w:rsidRDefault="003A205D" w:rsidP="00D32FA7">
            <w:pPr>
              <w:spacing w:line="240" w:lineRule="auto"/>
              <w:jc w:val="right"/>
              <w:rPr>
                <w:rFonts w:ascii="Calibri" w:hAnsi="Calibri"/>
                <w:color w:val="000000"/>
                <w:sz w:val="28"/>
                <w:szCs w:val="28"/>
              </w:rPr>
            </w:pPr>
            <w:r>
              <w:rPr>
                <w:rFonts w:ascii="Calibri" w:hAnsi="Calibri"/>
                <w:color w:val="000000"/>
                <w:sz w:val="28"/>
                <w:szCs w:val="28"/>
              </w:rPr>
              <w:t>3 610 184,00</w:t>
            </w:r>
          </w:p>
        </w:tc>
        <w:tc>
          <w:tcPr>
            <w:tcW w:w="2028" w:type="dxa"/>
            <w:shd w:val="clear" w:color="auto" w:fill="EFE6D5"/>
          </w:tcPr>
          <w:p w:rsidR="005F0BE6" w:rsidRDefault="00847278" w:rsidP="00D32FA7">
            <w:pPr>
              <w:spacing w:line="240" w:lineRule="auto"/>
              <w:jc w:val="right"/>
              <w:rPr>
                <w:rFonts w:ascii="Calibri" w:hAnsi="Calibri"/>
                <w:color w:val="000000"/>
                <w:sz w:val="28"/>
                <w:szCs w:val="28"/>
              </w:rPr>
            </w:pPr>
            <w:r>
              <w:rPr>
                <w:rFonts w:ascii="Calibri" w:hAnsi="Calibri"/>
                <w:color w:val="000000"/>
                <w:sz w:val="28"/>
                <w:szCs w:val="28"/>
              </w:rPr>
              <w:t>3 111 156,40</w:t>
            </w:r>
          </w:p>
        </w:tc>
      </w:tr>
      <w:tr w:rsidR="005F0BE6" w:rsidRPr="003A205D"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9iv</w:t>
            </w:r>
          </w:p>
        </w:tc>
        <w:tc>
          <w:tcPr>
            <w:tcW w:w="2178" w:type="dxa"/>
            <w:shd w:val="clear" w:color="auto" w:fill="EFE6D5"/>
            <w:vAlign w:val="bottom"/>
          </w:tcPr>
          <w:p w:rsidR="005F0BE6" w:rsidRPr="003A205D" w:rsidRDefault="005F0BE6" w:rsidP="00D32FA7">
            <w:pPr>
              <w:spacing w:line="240" w:lineRule="auto"/>
              <w:jc w:val="right"/>
              <w:rPr>
                <w:rFonts w:ascii="Calibri" w:hAnsi="Calibri"/>
                <w:sz w:val="28"/>
                <w:szCs w:val="28"/>
              </w:rPr>
            </w:pPr>
            <w:r w:rsidRPr="003A205D">
              <w:rPr>
                <w:rFonts w:ascii="Calibri" w:hAnsi="Calibri"/>
                <w:sz w:val="28"/>
                <w:szCs w:val="28"/>
              </w:rPr>
              <w:t>700 000,00</w:t>
            </w:r>
          </w:p>
        </w:tc>
        <w:tc>
          <w:tcPr>
            <w:tcW w:w="2028" w:type="dxa"/>
            <w:shd w:val="clear" w:color="auto" w:fill="EFE6D5"/>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595 000,00</w:t>
            </w:r>
          </w:p>
        </w:tc>
      </w:tr>
      <w:tr w:rsidR="005F0BE6" w:rsidRPr="003A205D" w:rsidTr="00896514">
        <w:trPr>
          <w:trHeight w:val="539"/>
          <w:jc w:val="center"/>
        </w:trPr>
        <w:tc>
          <w:tcPr>
            <w:tcW w:w="2761" w:type="dxa"/>
            <w:shd w:val="clear" w:color="auto" w:fill="EFE6D5"/>
            <w:vAlign w:val="center"/>
          </w:tcPr>
          <w:p w:rsidR="005F0BE6" w:rsidRPr="00F85233" w:rsidRDefault="005F0BE6" w:rsidP="001C63AE">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w:t>
            </w:r>
            <w:r>
              <w:rPr>
                <w:rFonts w:ascii="Garamond" w:hAnsi="Garamond" w:cs="Arial"/>
                <w:color w:val="000000"/>
                <w:sz w:val="28"/>
                <w:szCs w:val="28"/>
              </w:rPr>
              <w:t xml:space="preserve"> </w:t>
            </w:r>
            <w:r w:rsidR="00712433">
              <w:rPr>
                <w:rFonts w:ascii="Garamond" w:hAnsi="Garamond" w:cs="Arial"/>
                <w:color w:val="000000"/>
                <w:sz w:val="28"/>
                <w:szCs w:val="28"/>
              </w:rPr>
              <w:t>Poddziałanie 10.2.1.</w:t>
            </w:r>
          </w:p>
        </w:tc>
        <w:tc>
          <w:tcPr>
            <w:tcW w:w="2178" w:type="dxa"/>
            <w:shd w:val="clear" w:color="auto" w:fill="EFE6D5"/>
            <w:vAlign w:val="bottom"/>
          </w:tcPr>
          <w:p w:rsidR="005F0BE6" w:rsidRPr="003A205D" w:rsidRDefault="00712433" w:rsidP="001C63AE">
            <w:pPr>
              <w:spacing w:line="240" w:lineRule="auto"/>
              <w:jc w:val="center"/>
              <w:rPr>
                <w:rFonts w:ascii="Calibri" w:hAnsi="Calibri"/>
                <w:sz w:val="28"/>
                <w:szCs w:val="28"/>
              </w:rPr>
            </w:pPr>
            <w:r w:rsidRPr="003A205D">
              <w:rPr>
                <w:rFonts w:ascii="Calibri" w:hAnsi="Calibri"/>
                <w:sz w:val="28"/>
                <w:szCs w:val="28"/>
              </w:rPr>
              <w:t>1 500 000,00</w:t>
            </w:r>
          </w:p>
        </w:tc>
        <w:tc>
          <w:tcPr>
            <w:tcW w:w="2028" w:type="dxa"/>
            <w:shd w:val="clear" w:color="auto" w:fill="EFE6D5"/>
          </w:tcPr>
          <w:p w:rsidR="005F0BE6" w:rsidRPr="003A205D" w:rsidRDefault="005F0BE6" w:rsidP="00D32FA7">
            <w:pPr>
              <w:spacing w:line="240" w:lineRule="auto"/>
              <w:jc w:val="right"/>
              <w:rPr>
                <w:rFonts w:ascii="Calibri" w:hAnsi="Calibri"/>
                <w:sz w:val="28"/>
                <w:szCs w:val="28"/>
              </w:rPr>
            </w:pPr>
          </w:p>
          <w:p w:rsidR="005F0BE6" w:rsidRPr="003A205D" w:rsidRDefault="00712433" w:rsidP="00D32FA7">
            <w:pPr>
              <w:spacing w:line="240" w:lineRule="auto"/>
              <w:jc w:val="right"/>
              <w:rPr>
                <w:rFonts w:ascii="Calibri" w:hAnsi="Calibri"/>
                <w:sz w:val="28"/>
                <w:szCs w:val="28"/>
              </w:rPr>
            </w:pPr>
            <w:r w:rsidRPr="003A205D">
              <w:rPr>
                <w:rFonts w:ascii="Calibri" w:hAnsi="Calibri"/>
                <w:sz w:val="28"/>
                <w:szCs w:val="28"/>
              </w:rPr>
              <w:t>1 275 000,00</w:t>
            </w:r>
          </w:p>
        </w:tc>
      </w:tr>
      <w:tr w:rsidR="00712433" w:rsidRPr="003A205D" w:rsidTr="00896514">
        <w:trPr>
          <w:trHeight w:val="539"/>
          <w:jc w:val="center"/>
        </w:trPr>
        <w:tc>
          <w:tcPr>
            <w:tcW w:w="2761" w:type="dxa"/>
            <w:shd w:val="clear" w:color="auto" w:fill="EFE6D5"/>
            <w:vAlign w:val="center"/>
          </w:tcPr>
          <w:p w:rsidR="00712433" w:rsidRPr="00F85233" w:rsidRDefault="00712433" w:rsidP="001C63AE">
            <w:pPr>
              <w:pStyle w:val="Akapitzlist"/>
              <w:numPr>
                <w:ilvl w:val="0"/>
                <w:numId w:val="54"/>
              </w:numPr>
              <w:spacing w:after="0" w:line="240" w:lineRule="auto"/>
              <w:rPr>
                <w:rFonts w:ascii="Garamond" w:hAnsi="Garamond" w:cs="Arial"/>
                <w:color w:val="000000"/>
                <w:sz w:val="28"/>
                <w:szCs w:val="28"/>
              </w:rPr>
            </w:pPr>
            <w:r>
              <w:rPr>
                <w:rFonts w:ascii="Garamond" w:hAnsi="Garamond" w:cs="Arial"/>
                <w:color w:val="000000"/>
                <w:sz w:val="28"/>
                <w:szCs w:val="28"/>
              </w:rPr>
              <w:t>10i Poddziałanie 10.2.2.</w:t>
            </w:r>
          </w:p>
        </w:tc>
        <w:tc>
          <w:tcPr>
            <w:tcW w:w="2178" w:type="dxa"/>
            <w:shd w:val="clear" w:color="auto" w:fill="EFE6D5"/>
            <w:vAlign w:val="bottom"/>
          </w:tcPr>
          <w:p w:rsidR="00712433" w:rsidRPr="003A205D" w:rsidRDefault="00712433" w:rsidP="001C63AE">
            <w:pPr>
              <w:spacing w:line="240" w:lineRule="auto"/>
              <w:jc w:val="center"/>
              <w:rPr>
                <w:rFonts w:ascii="Calibri" w:hAnsi="Calibri"/>
                <w:sz w:val="28"/>
                <w:szCs w:val="28"/>
              </w:rPr>
            </w:pPr>
            <w:r w:rsidRPr="003A205D">
              <w:rPr>
                <w:rFonts w:ascii="Calibri" w:hAnsi="Calibri"/>
                <w:sz w:val="28"/>
                <w:szCs w:val="28"/>
              </w:rPr>
              <w:t>6 337 227,85</w:t>
            </w:r>
          </w:p>
        </w:tc>
        <w:tc>
          <w:tcPr>
            <w:tcW w:w="2028" w:type="dxa"/>
            <w:shd w:val="clear" w:color="auto" w:fill="EFE6D5"/>
          </w:tcPr>
          <w:p w:rsidR="00712433" w:rsidRPr="003A205D" w:rsidRDefault="00712433" w:rsidP="00D32FA7">
            <w:pPr>
              <w:spacing w:line="240" w:lineRule="auto"/>
              <w:jc w:val="right"/>
              <w:rPr>
                <w:rFonts w:ascii="Calibri" w:hAnsi="Calibri"/>
                <w:sz w:val="28"/>
                <w:szCs w:val="28"/>
              </w:rPr>
            </w:pPr>
            <w:r w:rsidRPr="003A205D">
              <w:rPr>
                <w:rFonts w:ascii="Calibri" w:hAnsi="Calibri"/>
                <w:sz w:val="28"/>
                <w:szCs w:val="28"/>
              </w:rPr>
              <w:t>5 386 643,67</w:t>
            </w:r>
          </w:p>
        </w:tc>
      </w:tr>
      <w:tr w:rsidR="005F0BE6" w:rsidRPr="003A205D" w:rsidTr="00896514">
        <w:trPr>
          <w:trHeight w:val="539"/>
          <w:jc w:val="center"/>
        </w:trPr>
        <w:tc>
          <w:tcPr>
            <w:tcW w:w="2761" w:type="dxa"/>
            <w:shd w:val="clear" w:color="auto" w:fill="EFE6D5"/>
            <w:vAlign w:val="center"/>
          </w:tcPr>
          <w:p w:rsidR="005F0BE6" w:rsidRPr="00F85233" w:rsidRDefault="005F0BE6" w:rsidP="00E36E87">
            <w:pPr>
              <w:pStyle w:val="Akapitzlist"/>
              <w:numPr>
                <w:ilvl w:val="0"/>
                <w:numId w:val="54"/>
              </w:numPr>
              <w:spacing w:after="0" w:line="240" w:lineRule="auto"/>
              <w:rPr>
                <w:rFonts w:ascii="Garamond" w:hAnsi="Garamond" w:cs="Arial"/>
                <w:color w:val="000000"/>
                <w:sz w:val="28"/>
                <w:szCs w:val="28"/>
              </w:rPr>
            </w:pPr>
            <w:r w:rsidRPr="00F85233">
              <w:rPr>
                <w:rFonts w:ascii="Garamond" w:hAnsi="Garamond" w:cs="Arial"/>
                <w:color w:val="000000"/>
                <w:sz w:val="28"/>
                <w:szCs w:val="28"/>
              </w:rPr>
              <w:t>10iv</w:t>
            </w:r>
          </w:p>
        </w:tc>
        <w:tc>
          <w:tcPr>
            <w:tcW w:w="2178" w:type="dxa"/>
            <w:shd w:val="clear" w:color="auto" w:fill="EFE6D5"/>
            <w:vAlign w:val="bottom"/>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3 477 786,80</w:t>
            </w:r>
          </w:p>
        </w:tc>
        <w:tc>
          <w:tcPr>
            <w:tcW w:w="2028" w:type="dxa"/>
            <w:shd w:val="clear" w:color="auto" w:fill="EFE6D5"/>
          </w:tcPr>
          <w:p w:rsidR="005F0BE6" w:rsidRPr="003A205D" w:rsidRDefault="00A23558" w:rsidP="00D32FA7">
            <w:pPr>
              <w:spacing w:line="240" w:lineRule="auto"/>
              <w:jc w:val="right"/>
              <w:rPr>
                <w:rFonts w:ascii="Calibri" w:hAnsi="Calibri"/>
                <w:sz w:val="28"/>
                <w:szCs w:val="28"/>
              </w:rPr>
            </w:pPr>
            <w:r w:rsidRPr="003A205D">
              <w:rPr>
                <w:rFonts w:ascii="Calibri" w:hAnsi="Calibri"/>
                <w:sz w:val="28"/>
                <w:szCs w:val="28"/>
              </w:rPr>
              <w:t>2</w:t>
            </w:r>
            <w:r w:rsidR="003A205D" w:rsidRPr="003A205D">
              <w:rPr>
                <w:rFonts w:ascii="Calibri" w:hAnsi="Calibri"/>
                <w:sz w:val="28"/>
                <w:szCs w:val="28"/>
              </w:rPr>
              <w:t xml:space="preserve"> </w:t>
            </w:r>
            <w:r w:rsidRPr="003A205D">
              <w:rPr>
                <w:rFonts w:ascii="Calibri" w:hAnsi="Calibri"/>
                <w:sz w:val="28"/>
                <w:szCs w:val="28"/>
              </w:rPr>
              <w:t>956 118,78</w:t>
            </w:r>
          </w:p>
        </w:tc>
      </w:tr>
      <w:tr w:rsidR="005F0BE6" w:rsidRPr="003A205D" w:rsidTr="00896514">
        <w:trPr>
          <w:trHeight w:val="299"/>
          <w:jc w:val="center"/>
        </w:trPr>
        <w:tc>
          <w:tcPr>
            <w:tcW w:w="2761" w:type="dxa"/>
          </w:tcPr>
          <w:p w:rsidR="005F0BE6" w:rsidRPr="00F85233" w:rsidRDefault="005F0BE6" w:rsidP="00D32FA7">
            <w:pPr>
              <w:spacing w:after="0" w:line="240" w:lineRule="auto"/>
              <w:rPr>
                <w:rFonts w:ascii="Garamond" w:hAnsi="Garamond"/>
                <w:sz w:val="28"/>
                <w:szCs w:val="28"/>
              </w:rPr>
            </w:pPr>
          </w:p>
        </w:tc>
        <w:tc>
          <w:tcPr>
            <w:tcW w:w="2178" w:type="dxa"/>
            <w:vAlign w:val="center"/>
          </w:tcPr>
          <w:p w:rsidR="005F0BE6" w:rsidRPr="003A205D" w:rsidRDefault="005F0BE6" w:rsidP="00D32FA7">
            <w:pPr>
              <w:spacing w:after="0" w:line="240" w:lineRule="auto"/>
              <w:jc w:val="right"/>
              <w:rPr>
                <w:rFonts w:ascii="Garamond" w:hAnsi="Garamond"/>
                <w:sz w:val="28"/>
                <w:szCs w:val="28"/>
              </w:rPr>
            </w:pPr>
          </w:p>
        </w:tc>
        <w:tc>
          <w:tcPr>
            <w:tcW w:w="2028" w:type="dxa"/>
          </w:tcPr>
          <w:p w:rsidR="005F0BE6" w:rsidRPr="003A205D" w:rsidRDefault="005F0BE6" w:rsidP="00D32FA7">
            <w:pPr>
              <w:spacing w:after="0" w:line="240" w:lineRule="auto"/>
              <w:jc w:val="right"/>
              <w:rPr>
                <w:rFonts w:ascii="Garamond" w:hAnsi="Garamond"/>
                <w:sz w:val="28"/>
                <w:szCs w:val="28"/>
              </w:rPr>
            </w:pPr>
          </w:p>
        </w:tc>
      </w:tr>
      <w:tr w:rsidR="005F0BE6" w:rsidRPr="001534A8" w:rsidTr="00896514">
        <w:trPr>
          <w:trHeight w:val="958"/>
          <w:jc w:val="center"/>
        </w:trPr>
        <w:tc>
          <w:tcPr>
            <w:tcW w:w="2761" w:type="dxa"/>
            <w:shd w:val="clear" w:color="auto" w:fill="E6DBEF"/>
          </w:tcPr>
          <w:p w:rsidR="005F0BE6" w:rsidRPr="00F85233" w:rsidRDefault="005F0BE6" w:rsidP="00D32FA7">
            <w:pPr>
              <w:spacing w:after="0" w:line="240" w:lineRule="auto"/>
              <w:jc w:val="center"/>
              <w:rPr>
                <w:rFonts w:ascii="Garamond" w:hAnsi="Garamond"/>
                <w:sz w:val="28"/>
                <w:szCs w:val="28"/>
              </w:rPr>
            </w:pPr>
            <w:r w:rsidRPr="00F85233">
              <w:rPr>
                <w:rFonts w:ascii="Garamond" w:hAnsi="Garamond"/>
                <w:sz w:val="28"/>
                <w:szCs w:val="28"/>
              </w:rPr>
              <w:t>Całkowita wartość projektów</w:t>
            </w:r>
          </w:p>
        </w:tc>
        <w:tc>
          <w:tcPr>
            <w:tcW w:w="2178" w:type="dxa"/>
            <w:shd w:val="clear" w:color="auto" w:fill="E6DBEF"/>
            <w:vAlign w:val="center"/>
          </w:tcPr>
          <w:p w:rsidR="005F0BE6" w:rsidRPr="00F85233" w:rsidRDefault="003D0D04" w:rsidP="00D32FA7">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56 114 432,84</w:t>
            </w:r>
          </w:p>
        </w:tc>
        <w:tc>
          <w:tcPr>
            <w:tcW w:w="2028" w:type="dxa"/>
            <w:shd w:val="clear" w:color="auto" w:fill="E6DBEF"/>
          </w:tcPr>
          <w:p w:rsidR="005F0BE6" w:rsidRDefault="005F0BE6" w:rsidP="00D32FA7">
            <w:pPr>
              <w:spacing w:after="0" w:line="240" w:lineRule="auto"/>
              <w:jc w:val="right"/>
              <w:rPr>
                <w:rFonts w:ascii="Garamond" w:hAnsi="Garamond"/>
                <w:color w:val="000000" w:themeColor="text1"/>
                <w:sz w:val="28"/>
                <w:szCs w:val="28"/>
              </w:rPr>
            </w:pPr>
          </w:p>
          <w:p w:rsidR="005F0BE6" w:rsidRPr="00A643C5" w:rsidRDefault="00AA092C" w:rsidP="00AA092C">
            <w:pPr>
              <w:spacing w:after="0" w:line="240" w:lineRule="auto"/>
              <w:jc w:val="right"/>
              <w:rPr>
                <w:rFonts w:ascii="Garamond" w:hAnsi="Garamond"/>
                <w:b/>
                <w:color w:val="000000" w:themeColor="text1"/>
                <w:sz w:val="28"/>
                <w:szCs w:val="28"/>
              </w:rPr>
            </w:pPr>
            <w:r>
              <w:rPr>
                <w:rFonts w:ascii="Garamond" w:hAnsi="Garamond"/>
                <w:b/>
                <w:color w:val="000000" w:themeColor="text1"/>
                <w:sz w:val="28"/>
                <w:szCs w:val="28"/>
              </w:rPr>
              <w:t>40 413 474</w:t>
            </w:r>
            <w:r w:rsidR="003D0D04">
              <w:rPr>
                <w:rFonts w:ascii="Garamond" w:hAnsi="Garamond"/>
                <w:b/>
                <w:color w:val="000000" w:themeColor="text1"/>
                <w:sz w:val="28"/>
                <w:szCs w:val="28"/>
              </w:rPr>
              <w:t>,</w:t>
            </w:r>
            <w:r>
              <w:rPr>
                <w:rFonts w:ascii="Garamond" w:hAnsi="Garamond"/>
                <w:b/>
                <w:color w:val="000000" w:themeColor="text1"/>
                <w:sz w:val="28"/>
                <w:szCs w:val="28"/>
              </w:rPr>
              <w:t>06</w:t>
            </w:r>
          </w:p>
        </w:tc>
      </w:tr>
    </w:tbl>
    <w:p w:rsidR="00567C3E" w:rsidRPr="001534A8" w:rsidRDefault="00567C3E" w:rsidP="00567C3E">
      <w:pPr>
        <w:spacing w:before="120" w:after="0"/>
        <w:rPr>
          <w:rFonts w:ascii="Garamond" w:hAnsi="Garamond"/>
          <w:sz w:val="20"/>
          <w:szCs w:val="16"/>
        </w:rPr>
      </w:pPr>
      <w:r w:rsidRPr="001534A8">
        <w:rPr>
          <w:rFonts w:ascii="Garamond" w:hAnsi="Garamond"/>
          <w:sz w:val="20"/>
          <w:szCs w:val="16"/>
        </w:rPr>
        <w:t xml:space="preserve">Źródło: </w:t>
      </w:r>
      <w:r w:rsidRPr="001534A8">
        <w:rPr>
          <w:rFonts w:ascii="Garamond" w:hAnsi="Garamond"/>
          <w:i/>
          <w:sz w:val="20"/>
          <w:szCs w:val="16"/>
        </w:rPr>
        <w:t>Opracowanie własne na podstawie fiszek projektowych.</w:t>
      </w:r>
    </w:p>
    <w:p w:rsidR="00567C3E" w:rsidRPr="001534A8" w:rsidRDefault="00567C3E" w:rsidP="00567C3E">
      <w:pPr>
        <w:jc w:val="both"/>
        <w:rPr>
          <w:rFonts w:ascii="Garamond" w:hAnsi="Garamond"/>
          <w:b/>
          <w:color w:val="4F2D7F"/>
          <w:sz w:val="40"/>
        </w:rPr>
        <w:sectPr w:rsidR="00567C3E" w:rsidRPr="001534A8" w:rsidSect="00D32FA7">
          <w:pgSz w:w="11906" w:h="16838"/>
          <w:pgMar w:top="1417" w:right="1417" w:bottom="1417" w:left="1417" w:header="708" w:footer="708" w:gutter="0"/>
          <w:cols w:space="708"/>
          <w:docGrid w:linePitch="360"/>
        </w:sectPr>
      </w:pPr>
    </w:p>
    <w:p w:rsidR="00567C3E" w:rsidRDefault="00567C3E" w:rsidP="00567C3E">
      <w:pPr>
        <w:pStyle w:val="T"/>
        <w:rPr>
          <w:b w:val="0"/>
          <w:color w:val="auto"/>
        </w:rPr>
      </w:pPr>
    </w:p>
    <w:p w:rsidR="000326FF" w:rsidRPr="00E645E3" w:rsidRDefault="000326FF" w:rsidP="000326FF">
      <w:pPr>
        <w:pStyle w:val="T"/>
        <w:rPr>
          <w:color w:val="7030A0"/>
        </w:rPr>
      </w:pPr>
      <w:bookmarkStart w:id="104" w:name="_Toc430872029"/>
      <w:r w:rsidRPr="001534A8">
        <w:t>Tabela 4</w:t>
      </w:r>
      <w:r>
        <w:t>7</w:t>
      </w:r>
      <w:r w:rsidRPr="001534A8">
        <w:t>. Lista podstawowa projektów finansowanych w ramach EFRR</w:t>
      </w:r>
      <w:r w:rsidRPr="00F60BF2">
        <w:rPr>
          <w:color w:val="7030A0"/>
        </w:rPr>
        <w:t xml:space="preserve">- </w:t>
      </w:r>
      <w:r>
        <w:rPr>
          <w:color w:val="auto"/>
        </w:rPr>
        <w:t xml:space="preserve"> </w:t>
      </w:r>
      <w:r w:rsidRPr="00E645E3">
        <w:rPr>
          <w:color w:val="7030A0"/>
        </w:rPr>
        <w:t>aktua</w:t>
      </w:r>
      <w:r>
        <w:rPr>
          <w:color w:val="7030A0"/>
        </w:rPr>
        <w:t>l</w:t>
      </w:r>
      <w:r w:rsidR="00045BA6">
        <w:rPr>
          <w:color w:val="7030A0"/>
        </w:rPr>
        <w:t>izacj</w:t>
      </w:r>
      <w:r w:rsidR="00860816">
        <w:rPr>
          <w:color w:val="7030A0"/>
        </w:rPr>
        <w:t>a S</w:t>
      </w:r>
      <w:r w:rsidR="00576902">
        <w:rPr>
          <w:color w:val="7030A0"/>
        </w:rPr>
        <w:t xml:space="preserve">trategii ORSG w dniu 12 lipca </w:t>
      </w:r>
      <w:r w:rsidR="0031428D">
        <w:rPr>
          <w:color w:val="7030A0"/>
        </w:rPr>
        <w:t>201</w:t>
      </w:r>
      <w:r w:rsidR="00610590">
        <w:rPr>
          <w:color w:val="7030A0"/>
        </w:rPr>
        <w:t>8r. uchwałą nr XX</w:t>
      </w:r>
      <w:r w:rsidR="004929DF">
        <w:rPr>
          <w:color w:val="7030A0"/>
        </w:rPr>
        <w:t>I</w:t>
      </w:r>
      <w:r w:rsidR="007A5CA2">
        <w:rPr>
          <w:color w:val="7030A0"/>
        </w:rPr>
        <w:t>I</w:t>
      </w:r>
      <w:r w:rsidR="00576902">
        <w:rPr>
          <w:color w:val="7030A0"/>
        </w:rPr>
        <w:t>I</w:t>
      </w:r>
      <w:r w:rsidR="002A5C94">
        <w:rPr>
          <w:color w:val="7030A0"/>
        </w:rPr>
        <w:t>/</w:t>
      </w:r>
      <w:r w:rsidR="00576902">
        <w:rPr>
          <w:color w:val="7030A0"/>
        </w:rPr>
        <w:t>34</w:t>
      </w:r>
      <w:r w:rsidR="004929DF">
        <w:rPr>
          <w:color w:val="7030A0"/>
        </w:rPr>
        <w:t>/</w:t>
      </w:r>
      <w:r w:rsidRPr="00E645E3">
        <w:rPr>
          <w:color w:val="7030A0"/>
        </w:rPr>
        <w:t>201</w:t>
      </w:r>
      <w:r w:rsidR="00610590">
        <w:rPr>
          <w:color w:val="7030A0"/>
        </w:rPr>
        <w:t>8</w:t>
      </w:r>
      <w:r w:rsidRPr="00E645E3">
        <w:rPr>
          <w:color w:val="7030A0"/>
        </w:rPr>
        <w:t xml:space="preserve"> Komitetu Sterującego ORSG Powiatu Brodnickiego.</w:t>
      </w:r>
    </w:p>
    <w:p w:rsidR="000326FF" w:rsidRPr="001534A8" w:rsidRDefault="000326FF" w:rsidP="000326FF">
      <w:pPr>
        <w:pStyle w:val="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2178"/>
        <w:gridCol w:w="1793"/>
        <w:gridCol w:w="1904"/>
        <w:gridCol w:w="908"/>
        <w:gridCol w:w="945"/>
        <w:gridCol w:w="1290"/>
        <w:gridCol w:w="1100"/>
        <w:gridCol w:w="433"/>
        <w:gridCol w:w="3035"/>
      </w:tblGrid>
      <w:tr w:rsidR="000326FF" w:rsidRPr="001534A8" w:rsidTr="00D42171">
        <w:trPr>
          <w:trHeight w:val="20"/>
        </w:trPr>
        <w:tc>
          <w:tcPr>
            <w:tcW w:w="197" w:type="pct"/>
            <w:tcBorders>
              <w:top w:val="single" w:sz="4" w:space="0" w:color="FFFFFF" w:themeColor="background1"/>
              <w:left w:val="single" w:sz="4" w:space="0" w:color="824BB0"/>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Lp.</w:t>
            </w:r>
          </w:p>
        </w:tc>
        <w:tc>
          <w:tcPr>
            <w:tcW w:w="770"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Nazwa projektu</w:t>
            </w:r>
          </w:p>
        </w:tc>
        <w:tc>
          <w:tcPr>
            <w:tcW w:w="6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Beneficjent</w:t>
            </w:r>
          </w:p>
        </w:tc>
        <w:tc>
          <w:tcPr>
            <w:tcW w:w="67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Powiązany problem/</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potencjał</w:t>
            </w:r>
          </w:p>
        </w:tc>
        <w:tc>
          <w:tcPr>
            <w:tcW w:w="321"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Okres realizacji</w:t>
            </w:r>
          </w:p>
        </w:tc>
        <w:tc>
          <w:tcPr>
            <w:tcW w:w="334"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tcPr>
          <w:p w:rsidR="000326FF" w:rsidRPr="001534A8" w:rsidRDefault="000326FF" w:rsidP="00324C7B">
            <w:pPr>
              <w:spacing w:before="40" w:after="40"/>
              <w:jc w:val="center"/>
              <w:rPr>
                <w:rFonts w:ascii="Garamond" w:hAnsi="Garamond"/>
                <w:color w:val="FFFFFF" w:themeColor="background1"/>
                <w:sz w:val="16"/>
                <w:szCs w:val="16"/>
              </w:rPr>
            </w:pPr>
            <w:r w:rsidRPr="001534A8">
              <w:rPr>
                <w:rFonts w:ascii="Garamond" w:hAnsi="Garamond"/>
                <w:color w:val="FFFFFF" w:themeColor="background1"/>
                <w:sz w:val="16"/>
                <w:szCs w:val="16"/>
              </w:rPr>
              <w:t>Zasięg</w:t>
            </w:r>
          </w:p>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hAnsi="Garamond"/>
                <w:color w:val="FFFFFF" w:themeColor="background1"/>
                <w:sz w:val="16"/>
                <w:szCs w:val="16"/>
              </w:rPr>
              <w:t>terytorialny</w:t>
            </w:r>
          </w:p>
        </w:tc>
        <w:tc>
          <w:tcPr>
            <w:tcW w:w="456"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noWrap/>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Koszt (zł)</w:t>
            </w:r>
          </w:p>
        </w:tc>
        <w:tc>
          <w:tcPr>
            <w:tcW w:w="389"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Źródła finansowania</w:t>
            </w:r>
          </w:p>
        </w:tc>
        <w:tc>
          <w:tcPr>
            <w:tcW w:w="153" w:type="pct"/>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PI</w:t>
            </w:r>
          </w:p>
        </w:tc>
        <w:tc>
          <w:tcPr>
            <w:tcW w:w="1073" w:type="pct"/>
            <w:tcBorders>
              <w:top w:val="single" w:sz="4" w:space="0" w:color="FFFFFF" w:themeColor="background1"/>
              <w:left w:val="single" w:sz="4" w:space="0" w:color="FFFFFF" w:themeColor="background1"/>
              <w:bottom w:val="single" w:sz="4" w:space="0" w:color="824BB0"/>
              <w:right w:val="single" w:sz="4" w:space="0" w:color="824BB0"/>
            </w:tcBorders>
            <w:shd w:val="clear" w:color="auto" w:fill="824BB0"/>
            <w:vAlign w:val="center"/>
            <w:hideMark/>
          </w:tcPr>
          <w:p w:rsidR="000326FF" w:rsidRPr="001534A8" w:rsidRDefault="000326FF" w:rsidP="00324C7B">
            <w:pPr>
              <w:spacing w:before="40" w:after="40" w:line="240" w:lineRule="auto"/>
              <w:jc w:val="center"/>
              <w:rPr>
                <w:rFonts w:ascii="Garamond" w:eastAsia="Times New Roman" w:hAnsi="Garamond" w:cs="Arial"/>
                <w:bCs/>
                <w:color w:val="FFFFFF" w:themeColor="background1"/>
                <w:sz w:val="16"/>
                <w:szCs w:val="16"/>
              </w:rPr>
            </w:pPr>
            <w:r w:rsidRPr="001534A8">
              <w:rPr>
                <w:rFonts w:ascii="Garamond" w:eastAsia="Times New Roman" w:hAnsi="Garamond" w:cs="Arial"/>
                <w:bCs/>
                <w:color w:val="FFFFFF" w:themeColor="background1"/>
                <w:sz w:val="16"/>
                <w:szCs w:val="16"/>
              </w:rPr>
              <w:t>Wskaźniki projektu</w:t>
            </w:r>
          </w:p>
        </w:tc>
      </w:tr>
      <w:tr w:rsidR="000326FF" w:rsidRPr="001534A8"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Termomodernizacja budynku o funkcji garażowo-gospodarczej położonego w Bartniczce przy Urzędzie Gminy Bartniczka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Obniżony poziom infrastruktury technicznej</w:t>
            </w:r>
          </w:p>
          <w:p w:rsidR="000326FF" w:rsidRPr="00636BDE" w:rsidRDefault="000326FF" w:rsidP="00324C7B">
            <w:pPr>
              <w:spacing w:before="40" w:after="40" w:line="240" w:lineRule="auto"/>
              <w:jc w:val="center"/>
              <w:rPr>
                <w:rFonts w:ascii="Garamond" w:eastAsia="Times New Roman" w:hAnsi="Garamond" w:cs="Arial"/>
                <w:bCs/>
                <w:sz w:val="16"/>
                <w:szCs w:val="16"/>
              </w:rPr>
            </w:pPr>
          </w:p>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636BDE" w:rsidRDefault="000326FF" w:rsidP="00324C7B">
            <w:pPr>
              <w:spacing w:before="40" w:after="40" w:line="240" w:lineRule="auto"/>
              <w:rPr>
                <w:rFonts w:ascii="Garamond" w:eastAsia="Times New Roman" w:hAnsi="Garamond" w:cs="Arial"/>
                <w:bCs/>
                <w:sz w:val="16"/>
                <w:szCs w:val="16"/>
              </w:rPr>
            </w:pPr>
            <w:r w:rsidRPr="00636BDE">
              <w:rPr>
                <w:rFonts w:ascii="Garamond" w:eastAsia="Times New Roman" w:hAnsi="Garamond" w:cs="Arial"/>
                <w:bCs/>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636BDE" w:rsidRDefault="00C2710B" w:rsidP="00324C7B">
            <w:pPr>
              <w:spacing w:before="40" w:after="40" w:line="240" w:lineRule="auto"/>
              <w:jc w:val="right"/>
              <w:rPr>
                <w:rFonts w:ascii="Garamond" w:eastAsia="Times New Roman" w:hAnsi="Garamond" w:cs="Arial"/>
                <w:bCs/>
                <w:color w:val="000000" w:themeColor="text1"/>
                <w:sz w:val="16"/>
                <w:szCs w:val="16"/>
              </w:rPr>
            </w:pPr>
            <w:r w:rsidRPr="00636BDE">
              <w:rPr>
                <w:rFonts w:ascii="Garamond" w:hAnsi="Garamond" w:cs="Arial"/>
                <w:color w:val="000000" w:themeColor="text1"/>
                <w:sz w:val="16"/>
                <w:szCs w:val="16"/>
              </w:rPr>
              <w:t>138 306,77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EFRR</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69 998,13</w:t>
            </w:r>
          </w:p>
          <w:p w:rsidR="000326FF" w:rsidRPr="00636BDE"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Środki własne</w:t>
            </w:r>
          </w:p>
          <w:p w:rsidR="000326FF" w:rsidRPr="00636BDE" w:rsidRDefault="00C2710B" w:rsidP="00324C7B">
            <w:pPr>
              <w:pStyle w:val="Akapitzlist"/>
              <w:spacing w:before="40" w:after="40" w:line="240" w:lineRule="auto"/>
              <w:ind w:left="170"/>
              <w:rPr>
                <w:rFonts w:ascii="Garamond" w:eastAsia="Times New Roman" w:hAnsi="Garamond" w:cs="Arial"/>
                <w:bCs/>
                <w:color w:val="000000" w:themeColor="text1"/>
                <w:sz w:val="16"/>
                <w:szCs w:val="16"/>
              </w:rPr>
            </w:pPr>
            <w:r w:rsidRPr="00636BDE">
              <w:rPr>
                <w:rFonts w:ascii="Garamond" w:eastAsia="Times New Roman" w:hAnsi="Garamond" w:cs="Arial"/>
                <w:bCs/>
                <w:color w:val="000000" w:themeColor="text1"/>
                <w:sz w:val="16"/>
                <w:szCs w:val="16"/>
              </w:rPr>
              <w:t>68 308,64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spacing w:before="40" w:after="40" w:line="240" w:lineRule="auto"/>
              <w:jc w:val="center"/>
              <w:rPr>
                <w:rFonts w:ascii="Garamond" w:eastAsia="Times New Roman" w:hAnsi="Garamond" w:cs="Arial"/>
                <w:bCs/>
                <w:sz w:val="16"/>
                <w:szCs w:val="16"/>
              </w:rPr>
            </w:pPr>
            <w:r w:rsidRPr="00636BDE">
              <w:rPr>
                <w:rFonts w:ascii="Garamond" w:eastAsia="Times New Roman" w:hAnsi="Garamond" w:cs="Arial"/>
                <w:bCs/>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636BDE" w:rsidRDefault="000326FF" w:rsidP="00324C7B">
            <w:pPr>
              <w:pStyle w:val="Akapitzlist"/>
              <w:ind w:left="170"/>
              <w:jc w:val="both"/>
              <w:rPr>
                <w:rFonts w:ascii="Garamond" w:hAnsi="Garamond" w:cs="Arial"/>
                <w:sz w:val="16"/>
                <w:szCs w:val="16"/>
              </w:rPr>
            </w:pP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Szacuje się, że emisja CO2 zmniejszy się o około 30%</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Efektywność energetyczna zostanie zwiększona o  25%</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Zmniejszenie rocznego  zużycia energii pierwotnej w budynkach użyteczności publicznej (kWh/rok) – </w:t>
            </w:r>
            <w:r w:rsidR="00C2710B" w:rsidRPr="00636BDE">
              <w:rPr>
                <w:rFonts w:ascii="Garamond" w:hAnsi="Garamond" w:cs="Arial"/>
                <w:sz w:val="16"/>
                <w:szCs w:val="16"/>
              </w:rPr>
              <w:t>59268,62</w:t>
            </w:r>
            <w:r w:rsidRPr="00636BDE">
              <w:rPr>
                <w:rFonts w:ascii="Garamond" w:hAnsi="Garamond" w:cs="Arial"/>
                <w:sz w:val="16"/>
                <w:szCs w:val="16"/>
              </w:rPr>
              <w:t xml:space="preserve"> (szacowane)</w:t>
            </w:r>
          </w:p>
          <w:p w:rsidR="000326FF" w:rsidRPr="00636BDE" w:rsidRDefault="000326FF" w:rsidP="000326FF">
            <w:pPr>
              <w:pStyle w:val="Akapitzlist"/>
              <w:numPr>
                <w:ilvl w:val="0"/>
                <w:numId w:val="79"/>
              </w:numPr>
              <w:ind w:left="170" w:hanging="170"/>
              <w:jc w:val="both"/>
              <w:rPr>
                <w:rFonts w:ascii="Garamond" w:eastAsia="Times New Roman" w:hAnsi="Garamond" w:cs="Arial"/>
                <w:bCs/>
                <w:sz w:val="16"/>
                <w:szCs w:val="16"/>
              </w:rPr>
            </w:pPr>
            <w:r w:rsidRPr="00636BDE">
              <w:rPr>
                <w:rFonts w:ascii="Garamond" w:hAnsi="Garamond" w:cs="Arial"/>
                <w:sz w:val="16"/>
                <w:szCs w:val="16"/>
              </w:rPr>
              <w:t xml:space="preserve"> spadek emisji gazów c</w:t>
            </w:r>
            <w:r w:rsidR="00C2710B" w:rsidRPr="00636BDE">
              <w:rPr>
                <w:rFonts w:ascii="Garamond" w:hAnsi="Garamond" w:cs="Arial"/>
                <w:sz w:val="16"/>
                <w:szCs w:val="16"/>
              </w:rPr>
              <w:t>ieplarnianych (CO2/rok) – 81,090 ton równoważnika CO2</w:t>
            </w:r>
          </w:p>
          <w:p w:rsidR="000326FF" w:rsidRPr="00636BDE" w:rsidRDefault="000326FF" w:rsidP="000326FF">
            <w:pPr>
              <w:pStyle w:val="Akapitzlist"/>
              <w:numPr>
                <w:ilvl w:val="0"/>
                <w:numId w:val="79"/>
              </w:numPr>
              <w:ind w:left="170" w:hanging="170"/>
              <w:jc w:val="both"/>
              <w:rPr>
                <w:rFonts w:ascii="Garamond" w:hAnsi="Garamond" w:cs="Arial"/>
                <w:sz w:val="16"/>
                <w:szCs w:val="16"/>
              </w:rPr>
            </w:pPr>
            <w:r w:rsidRPr="00636BDE">
              <w:rPr>
                <w:rFonts w:ascii="Garamond" w:eastAsia="Times New Roman" w:hAnsi="Garamond" w:cs="Arial"/>
                <w:bCs/>
                <w:sz w:val="16"/>
                <w:szCs w:val="16"/>
              </w:rPr>
              <w:t xml:space="preserve">Liczba zmodernizowanych energetycznie budynków – 1 sztuka </w:t>
            </w:r>
          </w:p>
          <w:p w:rsidR="000326FF" w:rsidRPr="00636BDE" w:rsidRDefault="000326FF" w:rsidP="00324C7B">
            <w:pPr>
              <w:pStyle w:val="Akapitzlist"/>
              <w:ind w:left="170"/>
              <w:jc w:val="both"/>
              <w:rPr>
                <w:rFonts w:ascii="Garamond" w:eastAsia="Times New Roman" w:hAnsi="Garamond" w:cs="Arial"/>
                <w:bCs/>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Termomodernizacja i remont czterech obiektów kultury w miejscowościach Łaszewo, Jastrzębie, Nowe Świerczyny i Samin</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Gmina Bartniczka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Gmina Bartniczka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5356B" w:rsidP="00324C7B">
            <w:pPr>
              <w:spacing w:before="40" w:after="4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434 093,15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0C4820"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250 622,54</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A5356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183 470,61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pierwotnej w budynkach </w:t>
            </w:r>
            <w:r w:rsidR="00022C6D" w:rsidRPr="00C613D1">
              <w:rPr>
                <w:rFonts w:ascii="Garamond" w:hAnsi="Garamond" w:cs="Arial"/>
                <w:color w:val="000000" w:themeColor="text1"/>
                <w:sz w:val="16"/>
                <w:szCs w:val="16"/>
              </w:rPr>
              <w:t xml:space="preserve"> publicznych</w:t>
            </w:r>
            <w:r w:rsidRPr="00C613D1">
              <w:rPr>
                <w:rFonts w:ascii="Garamond" w:hAnsi="Garamond" w:cs="Arial"/>
                <w:color w:val="000000" w:themeColor="text1"/>
                <w:sz w:val="16"/>
                <w:szCs w:val="16"/>
              </w:rPr>
              <w:t xml:space="preserve"> (kWh/rok)</w:t>
            </w:r>
            <w:r w:rsidR="00022C6D" w:rsidRPr="00C613D1">
              <w:rPr>
                <w:rFonts w:ascii="Garamond" w:hAnsi="Garamond" w:cs="Arial"/>
                <w:color w:val="000000" w:themeColor="text1"/>
                <w:sz w:val="16"/>
                <w:szCs w:val="16"/>
              </w:rPr>
              <w:t xml:space="preserve"> – 292718,02</w:t>
            </w:r>
            <w:r w:rsidRPr="00C613D1">
              <w:rPr>
                <w:rFonts w:ascii="Garamond" w:hAnsi="Garamond" w:cs="Arial"/>
                <w:color w:val="000000" w:themeColor="text1"/>
                <w:sz w:val="16"/>
                <w:szCs w:val="16"/>
              </w:rPr>
              <w:t>;</w:t>
            </w:r>
          </w:p>
          <w:p w:rsidR="000326FF" w:rsidRPr="00C613D1" w:rsidRDefault="00F739B4"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Spadek emisji gazów cieplarnianych o 17,260 ton równoważnika CO2</w:t>
            </w:r>
          </w:p>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zmodernizowanych energetycznie budynków – 4 sztuki</w:t>
            </w:r>
          </w:p>
          <w:p w:rsidR="000326FF" w:rsidRPr="00C613D1" w:rsidRDefault="000326FF" w:rsidP="000326FF">
            <w:pPr>
              <w:pStyle w:val="Akapitzlist"/>
              <w:numPr>
                <w:ilvl w:val="0"/>
                <w:numId w:val="81"/>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Zakładana </w:t>
            </w:r>
            <w:proofErr w:type="spellStart"/>
            <w:r w:rsidRPr="00C613D1">
              <w:rPr>
                <w:rFonts w:ascii="Garamond" w:hAnsi="Garamond" w:cs="Arial"/>
                <w:color w:val="000000" w:themeColor="text1"/>
                <w:sz w:val="16"/>
                <w:szCs w:val="16"/>
              </w:rPr>
              <w:t>redukacja</w:t>
            </w:r>
            <w:proofErr w:type="spellEnd"/>
            <w:r w:rsidRPr="00C613D1">
              <w:rPr>
                <w:rFonts w:ascii="Garamond" w:hAnsi="Garamond" w:cs="Arial"/>
                <w:color w:val="000000" w:themeColor="text1"/>
                <w:sz w:val="16"/>
                <w:szCs w:val="16"/>
              </w:rPr>
              <w:t xml:space="preserve"> emisji  CO2 o 30% </w:t>
            </w:r>
          </w:p>
          <w:p w:rsidR="000326FF" w:rsidRPr="00C613D1" w:rsidRDefault="000326FF" w:rsidP="000326FF">
            <w:pPr>
              <w:pStyle w:val="Akapitzlist"/>
              <w:numPr>
                <w:ilvl w:val="0"/>
                <w:numId w:val="81"/>
              </w:numPr>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Efektywność energetyczna zwiększona o  25%</w:t>
            </w:r>
          </w:p>
          <w:p w:rsidR="000326FF" w:rsidRPr="00C613D1" w:rsidRDefault="000326FF" w:rsidP="00324C7B">
            <w:pPr>
              <w:pStyle w:val="Akapitzlist"/>
              <w:ind w:left="360"/>
              <w:jc w:val="both"/>
              <w:rPr>
                <w:rFonts w:ascii="Garamond"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Termomodernizacja Szkoły Podstawowej w Drużynach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 xml:space="preserve">Niska efektywność energetyczna budynków </w:t>
            </w:r>
            <w:r w:rsidRPr="00C613D1">
              <w:rPr>
                <w:rFonts w:ascii="Garamond" w:eastAsia="Times New Roman" w:hAnsi="Garamond" w:cs="Arial"/>
                <w:b/>
                <w:bCs/>
                <w:color w:val="000000" w:themeColor="text1"/>
                <w:sz w:val="16"/>
                <w:szCs w:val="16"/>
              </w:rPr>
              <w:lastRenderedPageBreak/>
              <w:t>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lastRenderedPageBreak/>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after="0" w:line="36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350 689,74</w:t>
            </w:r>
          </w:p>
          <w:p w:rsidR="000326FF" w:rsidRPr="00C613D1" w:rsidRDefault="000326FF" w:rsidP="00324C7B">
            <w:pPr>
              <w:spacing w:before="40" w:after="40" w:line="240" w:lineRule="auto"/>
              <w:jc w:val="right"/>
              <w:rPr>
                <w:rFonts w:ascii="Garamond" w:eastAsia="Times New Roman" w:hAnsi="Garamond" w:cs="Arial"/>
                <w:b/>
                <w:bCs/>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245 482,81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105 206,93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324C7B"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gazów cieplarnianych– 40,894 Mg</w:t>
            </w:r>
            <w:r w:rsidR="000326FF" w:rsidRPr="00C613D1">
              <w:rPr>
                <w:rFonts w:ascii="Garamond" w:hAnsi="Garamond" w:cs="Arial"/>
                <w:color w:val="000000" w:themeColor="text1"/>
                <w:sz w:val="16"/>
                <w:szCs w:val="16"/>
              </w:rPr>
              <w:t>/rok</w:t>
            </w:r>
          </w:p>
          <w:p w:rsidR="000326FF" w:rsidRPr="00C613D1" w:rsidRDefault="000326FF"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0326FF" w:rsidP="000326FF">
            <w:pPr>
              <w:pStyle w:val="Akapitzlist"/>
              <w:numPr>
                <w:ilvl w:val="0"/>
                <w:numId w:val="84"/>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324C7B" w:rsidRPr="00C613D1">
              <w:rPr>
                <w:rFonts w:ascii="Garamond" w:hAnsi="Garamond" w:cs="Arial"/>
                <w:color w:val="000000" w:themeColor="text1"/>
                <w:sz w:val="16"/>
                <w:szCs w:val="16"/>
              </w:rPr>
              <w:lastRenderedPageBreak/>
              <w:t>pierwotnej w budynkach publicznych</w:t>
            </w:r>
            <w:r w:rsidRPr="00C613D1">
              <w:rPr>
                <w:rFonts w:ascii="Garamond" w:hAnsi="Garamond" w:cs="Arial"/>
                <w:color w:val="000000" w:themeColor="text1"/>
                <w:sz w:val="16"/>
                <w:szCs w:val="16"/>
              </w:rPr>
              <w:t xml:space="preserve"> – 131904,3</w:t>
            </w:r>
            <w:r w:rsidR="00324C7B" w:rsidRPr="00C613D1">
              <w:rPr>
                <w:rFonts w:ascii="Garamond" w:hAnsi="Garamond" w:cs="Arial"/>
                <w:color w:val="000000" w:themeColor="text1"/>
                <w:sz w:val="16"/>
                <w:szCs w:val="16"/>
              </w:rPr>
              <w:t>00</w:t>
            </w:r>
            <w:r w:rsidRPr="00C613D1">
              <w:rPr>
                <w:rFonts w:ascii="Garamond" w:hAnsi="Garamond" w:cs="Arial"/>
                <w:color w:val="000000" w:themeColor="text1"/>
                <w:sz w:val="16"/>
                <w:szCs w:val="16"/>
              </w:rPr>
              <w:t xml:space="preserve"> kWh/rok</w:t>
            </w:r>
          </w:p>
          <w:p w:rsidR="000326FF" w:rsidRPr="00C613D1" w:rsidRDefault="000326FF" w:rsidP="000326FF">
            <w:pPr>
              <w:pStyle w:val="Akapitzlist"/>
              <w:numPr>
                <w:ilvl w:val="0"/>
                <w:numId w:val="84"/>
              </w:numPr>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30%</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lastRenderedPageBreak/>
              <w:t>10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s="Arial"/>
                <w:b/>
                <w:color w:val="000000" w:themeColor="text1"/>
                <w:sz w:val="16"/>
                <w:szCs w:val="16"/>
              </w:rPr>
            </w:pPr>
            <w:r w:rsidRPr="00C613D1">
              <w:rPr>
                <w:rFonts w:ascii="Garamond" w:hAnsi="Garamond" w:cs="Arial"/>
                <w:b/>
                <w:color w:val="000000" w:themeColor="text1"/>
                <w:sz w:val="16"/>
                <w:szCs w:val="16"/>
              </w:rPr>
              <w:t>Termomodernizacja  Szkoły Podstawowej w Małkach wraz z rozbudową i dobudową oraz modernizacją istniejącej kotłowni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B609F" w:rsidP="00324C7B">
            <w:pPr>
              <w:spacing w:after="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801 486,53</w:t>
            </w:r>
          </w:p>
          <w:p w:rsidR="000326FF" w:rsidRPr="00C613D1" w:rsidRDefault="000326FF" w:rsidP="00324C7B">
            <w:pPr>
              <w:spacing w:after="0" w:line="360" w:lineRule="auto"/>
              <w:jc w:val="right"/>
              <w:rPr>
                <w:rFonts w:ascii="Garamond" w:hAnsi="Garamond" w:cs="Arial"/>
                <w:b/>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AB609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385 469,87</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AB609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416 016,66</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Redukcja emisji gazów cieplarnianych CO2/rok – 25,25 MgCO2/rok</w:t>
            </w:r>
          </w:p>
          <w:p w:rsidR="00B80A6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B80A6F" w:rsidRPr="00C613D1">
              <w:rPr>
                <w:rFonts w:ascii="Garamond" w:hAnsi="Garamond" w:cs="Arial"/>
                <w:color w:val="000000" w:themeColor="text1"/>
                <w:sz w:val="16"/>
                <w:szCs w:val="16"/>
              </w:rPr>
              <w:t>pierwotnej w budynkach publicznych –91575 kWh/rok</w:t>
            </w:r>
          </w:p>
          <w:p w:rsidR="000326FF" w:rsidRPr="00C613D1" w:rsidRDefault="00B80A6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szacowany roczny spadek emisji gazów cieplarnianych – 25,250Mg/rok </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38,20%</w:t>
            </w:r>
          </w:p>
          <w:p w:rsidR="000326FF" w:rsidRPr="00C613D1" w:rsidRDefault="000326FF" w:rsidP="000326FF">
            <w:pPr>
              <w:pStyle w:val="Akapitzlist"/>
              <w:numPr>
                <w:ilvl w:val="0"/>
                <w:numId w:val="85"/>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Redukcja emisji CO2 o 38,20% w stosunku do istniejącej instalacji</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s="Arial"/>
                <w:b/>
                <w:color w:val="000000" w:themeColor="text1"/>
                <w:sz w:val="16"/>
                <w:szCs w:val="16"/>
              </w:rPr>
            </w:pPr>
            <w:r w:rsidRPr="00C613D1">
              <w:rPr>
                <w:rFonts w:ascii="Garamond" w:hAnsi="Garamond" w:cs="Arial"/>
                <w:b/>
                <w:color w:val="000000" w:themeColor="text1"/>
                <w:sz w:val="16"/>
                <w:szCs w:val="16"/>
              </w:rPr>
              <w:t>Termomodernizacja budynku świetlicy wiejskiej , biblioteki oraz remizy OSP w miejscowości Kruszyny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b/>
                <w:color w:val="000000" w:themeColor="text1"/>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after="0" w:line="240" w:lineRule="auto"/>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219 364,69</w:t>
            </w:r>
          </w:p>
          <w:p w:rsidR="000326FF" w:rsidRPr="00C613D1" w:rsidRDefault="000326FF" w:rsidP="00324C7B">
            <w:pPr>
              <w:spacing w:after="0" w:line="240" w:lineRule="auto"/>
              <w:jc w:val="right"/>
              <w:rPr>
                <w:rFonts w:ascii="Garamond" w:hAnsi="Garamond" w:cs="Arial"/>
                <w:b/>
                <w:color w:val="000000" w:themeColor="text1"/>
                <w:sz w:val="16"/>
                <w:szCs w:val="16"/>
              </w:rPr>
            </w:pP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167 887,92</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324C7B"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51 476,77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sztuka  </w:t>
            </w:r>
          </w:p>
          <w:p w:rsidR="000326FF" w:rsidRPr="00C613D1" w:rsidRDefault="00324C7B"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sadek  emisji gazów cieplarnianych – 20,82</w:t>
            </w:r>
            <w:r w:rsidR="000326FF" w:rsidRPr="00C613D1">
              <w:rPr>
                <w:rFonts w:ascii="Garamond" w:hAnsi="Garamond" w:cs="Arial"/>
                <w:color w:val="000000" w:themeColor="text1"/>
                <w:sz w:val="16"/>
                <w:szCs w:val="16"/>
              </w:rPr>
              <w:t xml:space="preserve"> Mg</w:t>
            </w:r>
            <w:r w:rsidRPr="00C613D1">
              <w:rPr>
                <w:rFonts w:ascii="Garamond" w:hAnsi="Garamond" w:cs="Arial"/>
                <w:color w:val="000000" w:themeColor="text1"/>
                <w:sz w:val="16"/>
                <w:szCs w:val="16"/>
              </w:rPr>
              <w:t>/</w:t>
            </w:r>
            <w:r w:rsidR="000326FF" w:rsidRPr="00C613D1">
              <w:rPr>
                <w:rFonts w:ascii="Garamond" w:hAnsi="Garamond" w:cs="Arial"/>
                <w:color w:val="000000" w:themeColor="text1"/>
                <w:sz w:val="16"/>
                <w:szCs w:val="16"/>
              </w:rPr>
              <w:t>rok</w:t>
            </w:r>
          </w:p>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w:t>
            </w:r>
            <w:r w:rsidR="00324C7B" w:rsidRPr="00C613D1">
              <w:rPr>
                <w:rFonts w:ascii="Garamond" w:hAnsi="Garamond" w:cs="Arial"/>
                <w:color w:val="000000" w:themeColor="text1"/>
                <w:sz w:val="16"/>
                <w:szCs w:val="16"/>
              </w:rPr>
              <w:t>pierwotnej w budynkach publicznych– 61680,560</w:t>
            </w:r>
            <w:r w:rsidRPr="00C613D1">
              <w:rPr>
                <w:rFonts w:ascii="Garamond" w:hAnsi="Garamond" w:cs="Arial"/>
                <w:color w:val="000000" w:themeColor="text1"/>
                <w:sz w:val="16"/>
                <w:szCs w:val="16"/>
              </w:rPr>
              <w:t xml:space="preserve"> kWh/rok</w:t>
            </w:r>
          </w:p>
          <w:p w:rsidR="000326FF" w:rsidRPr="00C613D1" w:rsidRDefault="000326FF" w:rsidP="000326FF">
            <w:pPr>
              <w:pStyle w:val="Akapitzlist"/>
              <w:numPr>
                <w:ilvl w:val="0"/>
                <w:numId w:val="86"/>
              </w:numPr>
              <w:spacing w:after="0" w:line="240" w:lineRule="auto"/>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budynku – 30%</w:t>
            </w:r>
          </w:p>
          <w:p w:rsidR="000326FF" w:rsidRPr="00C613D1" w:rsidRDefault="000326FF" w:rsidP="00324C7B">
            <w:pPr>
              <w:pStyle w:val="Akapitzlist"/>
              <w:spacing w:after="0" w:line="240" w:lineRule="auto"/>
              <w:ind w:left="360"/>
              <w:jc w:val="both"/>
              <w:rPr>
                <w:rFonts w:ascii="Garamond"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16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b/>
                <w:color w:val="000000" w:themeColor="text1"/>
                <w:sz w:val="16"/>
                <w:szCs w:val="16"/>
              </w:rPr>
            </w:pPr>
            <w:r w:rsidRPr="00C613D1">
              <w:rPr>
                <w:rFonts w:ascii="Garamond" w:hAnsi="Garamond" w:cs="Arial"/>
                <w:b/>
                <w:color w:val="000000" w:themeColor="text1"/>
                <w:sz w:val="16"/>
                <w:szCs w:val="16"/>
              </w:rPr>
              <w:t>Inwestycje w infrastrukturę komunikacji miejskiej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444BEE"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color w:val="000000" w:themeColor="text1"/>
                <w:sz w:val="16"/>
                <w:szCs w:val="16"/>
              </w:rPr>
            </w:pPr>
            <w:r w:rsidRPr="00C613D1">
              <w:rPr>
                <w:color w:val="000000" w:themeColor="text1"/>
                <w:sz w:val="16"/>
                <w:szCs w:val="16"/>
              </w:rPr>
              <w:t>Obniżony poziom infrastruktury technicznej</w:t>
            </w:r>
          </w:p>
          <w:p w:rsidR="000326FF" w:rsidRPr="00C613D1" w:rsidRDefault="000326FF" w:rsidP="002A5C94">
            <w:pPr>
              <w:pStyle w:val="S1"/>
              <w:numPr>
                <w:ilvl w:val="0"/>
                <w:numId w:val="0"/>
              </w:numPr>
              <w:spacing w:before="40" w:after="40" w:line="240" w:lineRule="auto"/>
              <w:rPr>
                <w:color w:val="000000" w:themeColor="text1"/>
                <w:sz w:val="16"/>
                <w:szCs w:val="16"/>
              </w:rPr>
            </w:pPr>
          </w:p>
          <w:p w:rsidR="000326FF" w:rsidRPr="00C613D1" w:rsidRDefault="000326FF" w:rsidP="002A5C94">
            <w:pPr>
              <w:pStyle w:val="S1"/>
              <w:numPr>
                <w:ilvl w:val="0"/>
                <w:numId w:val="0"/>
              </w:numPr>
              <w:spacing w:before="40" w:after="40" w:line="240" w:lineRule="auto"/>
              <w:rPr>
                <w:color w:val="000000" w:themeColor="text1"/>
                <w:sz w:val="16"/>
                <w:szCs w:val="16"/>
              </w:rPr>
            </w:pPr>
            <w:r w:rsidRPr="00C613D1">
              <w:rPr>
                <w:color w:val="000000" w:themeColor="text1"/>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444BEE" w:rsidP="00324C7B">
            <w:pPr>
              <w:spacing w:before="40" w:after="40"/>
              <w:jc w:val="center"/>
              <w:rPr>
                <w:rFonts w:ascii="Garamond" w:hAnsi="Garamond" w:cs="Arial"/>
                <w:b/>
                <w:color w:val="000000" w:themeColor="text1"/>
                <w:sz w:val="16"/>
                <w:szCs w:val="16"/>
              </w:rPr>
            </w:pPr>
            <w:r w:rsidRPr="00C613D1">
              <w:rPr>
                <w:rFonts w:ascii="Garamond" w:hAnsi="Garamond" w:cs="Arial"/>
                <w:b/>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b/>
                <w:color w:val="000000" w:themeColor="text1"/>
                <w:sz w:val="16"/>
                <w:szCs w:val="16"/>
              </w:rPr>
            </w:pPr>
            <w:r w:rsidRPr="00C613D1">
              <w:rPr>
                <w:rFonts w:ascii="Garamond" w:hAnsi="Garamond" w:cs="Arial"/>
                <w:b/>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right"/>
              <w:rPr>
                <w:rFonts w:ascii="Garamond" w:hAnsi="Garamond" w:cs="Arial"/>
                <w:b/>
                <w:color w:val="000000" w:themeColor="text1"/>
                <w:sz w:val="16"/>
                <w:szCs w:val="16"/>
              </w:rPr>
            </w:pPr>
            <w:r w:rsidRPr="00C613D1">
              <w:rPr>
                <w:rFonts w:ascii="Garamond" w:hAnsi="Garamond" w:cs="Arial"/>
                <w:b/>
                <w:color w:val="000000" w:themeColor="text1"/>
                <w:sz w:val="16"/>
                <w:szCs w:val="16"/>
              </w:rPr>
              <w:t>7 896 605,78</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6 712 114,91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1 184 490,87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406795">
            <w:pPr>
              <w:pStyle w:val="Akapitzlist"/>
              <w:spacing w:after="0" w:line="240" w:lineRule="auto"/>
              <w:ind w:left="170"/>
              <w:jc w:val="both"/>
              <w:rPr>
                <w:rFonts w:ascii="Garamond" w:hAnsi="Garamond" w:cs="Arial"/>
                <w:color w:val="000000" w:themeColor="text1"/>
                <w:sz w:val="16"/>
                <w:szCs w:val="16"/>
              </w:rPr>
            </w:pPr>
          </w:p>
          <w:p w:rsidR="000326FF" w:rsidRPr="00C613D1" w:rsidRDefault="000326FF" w:rsidP="005F7BA6">
            <w:pPr>
              <w:pStyle w:val="Akapitzlist"/>
              <w:snapToGrid w:val="0"/>
              <w:spacing w:after="0" w:line="240" w:lineRule="auto"/>
              <w:ind w:left="170"/>
              <w:jc w:val="both"/>
              <w:rPr>
                <w:rFonts w:ascii="Garamond" w:hAnsi="Garamond" w:cs="Arial"/>
                <w:b/>
                <w:color w:val="000000" w:themeColor="text1"/>
                <w:sz w:val="16"/>
                <w:szCs w:val="16"/>
              </w:rPr>
            </w:pP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zainstalowanych inteligentnych systemów transportowych – 1</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Pojemność zakupionego taboru pasażerskiego  w publicznym transporcie zbiorowym komunikacji miejskiej – 80 osób</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 xml:space="preserve">Liczba wybudowanych obiektów  park &amp; </w:t>
            </w:r>
            <w:proofErr w:type="spellStart"/>
            <w:r w:rsidRPr="00C613D1">
              <w:rPr>
                <w:rFonts w:ascii="Garamond" w:hAnsi="Garamond" w:cs="Arial"/>
                <w:color w:val="000000" w:themeColor="text1"/>
                <w:sz w:val="16"/>
                <w:szCs w:val="16"/>
              </w:rPr>
              <w:t>ride</w:t>
            </w:r>
            <w:proofErr w:type="spellEnd"/>
            <w:r w:rsidRPr="00C613D1">
              <w:rPr>
                <w:rFonts w:ascii="Garamond" w:hAnsi="Garamond" w:cs="Arial"/>
                <w:color w:val="000000" w:themeColor="text1"/>
                <w:sz w:val="16"/>
                <w:szCs w:val="16"/>
              </w:rPr>
              <w:t xml:space="preserve">  - 1</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miejsc postojowych dla osób niepełnosprawnych  w  wybudowanych   obiektach ( parkuj  i  jedź ) – 4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 xml:space="preserve">Liczba wybudowanych obiektów  </w:t>
            </w:r>
            <w:proofErr w:type="spellStart"/>
            <w:r w:rsidRPr="00C613D1">
              <w:rPr>
                <w:rFonts w:ascii="Garamond" w:hAnsi="Garamond" w:cs="Arial"/>
                <w:color w:val="000000" w:themeColor="text1"/>
                <w:sz w:val="16"/>
                <w:szCs w:val="16"/>
              </w:rPr>
              <w:t>bike</w:t>
            </w:r>
            <w:proofErr w:type="spellEnd"/>
            <w:r w:rsidRPr="00C613D1">
              <w:rPr>
                <w:rFonts w:ascii="Garamond" w:hAnsi="Garamond" w:cs="Arial"/>
                <w:color w:val="000000" w:themeColor="text1"/>
                <w:sz w:val="16"/>
                <w:szCs w:val="16"/>
              </w:rPr>
              <w:t xml:space="preserve"> &amp; </w:t>
            </w:r>
            <w:proofErr w:type="spellStart"/>
            <w:r w:rsidRPr="00C613D1">
              <w:rPr>
                <w:rFonts w:ascii="Garamond" w:hAnsi="Garamond" w:cs="Arial"/>
                <w:color w:val="000000" w:themeColor="text1"/>
                <w:sz w:val="16"/>
                <w:szCs w:val="16"/>
              </w:rPr>
              <w:t>ride</w:t>
            </w:r>
            <w:proofErr w:type="spellEnd"/>
            <w:r w:rsidRPr="00C613D1">
              <w:rPr>
                <w:rFonts w:ascii="Garamond" w:hAnsi="Garamond" w:cs="Arial"/>
                <w:color w:val="000000" w:themeColor="text1"/>
                <w:sz w:val="16"/>
                <w:szCs w:val="16"/>
              </w:rPr>
              <w:t xml:space="preserve"> – 8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 xml:space="preserve">Liczba  stanowisk postojowych w wybudowanych obiektach </w:t>
            </w:r>
            <w:proofErr w:type="spellStart"/>
            <w:r w:rsidRPr="00C613D1">
              <w:rPr>
                <w:rFonts w:ascii="Garamond" w:hAnsi="Garamond" w:cs="Arial"/>
                <w:color w:val="000000" w:themeColor="text1"/>
                <w:sz w:val="16"/>
                <w:szCs w:val="16"/>
              </w:rPr>
              <w:t>bike</w:t>
            </w:r>
            <w:proofErr w:type="spellEnd"/>
            <w:r w:rsidRPr="00C613D1">
              <w:rPr>
                <w:rFonts w:ascii="Garamond" w:hAnsi="Garamond" w:cs="Arial"/>
                <w:color w:val="000000" w:themeColor="text1"/>
                <w:sz w:val="16"/>
                <w:szCs w:val="16"/>
              </w:rPr>
              <w:t xml:space="preserve"> &amp; </w:t>
            </w:r>
            <w:proofErr w:type="spellStart"/>
            <w:r w:rsidRPr="00C613D1">
              <w:rPr>
                <w:rFonts w:ascii="Garamond" w:hAnsi="Garamond" w:cs="Arial"/>
                <w:color w:val="000000" w:themeColor="text1"/>
                <w:sz w:val="16"/>
                <w:szCs w:val="16"/>
              </w:rPr>
              <w:t>ride</w:t>
            </w:r>
            <w:proofErr w:type="spellEnd"/>
            <w:r w:rsidRPr="00C613D1">
              <w:rPr>
                <w:rFonts w:ascii="Garamond" w:hAnsi="Garamond" w:cs="Arial"/>
                <w:color w:val="000000" w:themeColor="text1"/>
                <w:sz w:val="16"/>
                <w:szCs w:val="16"/>
              </w:rPr>
              <w:t xml:space="preserve"> – 10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 xml:space="preserve">Liczba  wybudowanych, zintegrowanych </w:t>
            </w:r>
            <w:r w:rsidRPr="00C613D1">
              <w:rPr>
                <w:rFonts w:ascii="Garamond" w:hAnsi="Garamond" w:cs="Arial"/>
                <w:color w:val="000000" w:themeColor="text1"/>
                <w:sz w:val="16"/>
                <w:szCs w:val="16"/>
              </w:rPr>
              <w:lastRenderedPageBreak/>
              <w:t>węzłów przesiadkowych -  1 szt.</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Liczba zakupionych  jednostek taboru pasażerskiego w publicznym transporcie zbiorowym komunikacji miejskiej – 8</w:t>
            </w:r>
          </w:p>
          <w:p w:rsidR="000326FF" w:rsidRPr="00C613D1" w:rsidRDefault="000326FF" w:rsidP="000326FF">
            <w:pPr>
              <w:pStyle w:val="Akapitzlist"/>
              <w:numPr>
                <w:ilvl w:val="0"/>
                <w:numId w:val="104"/>
              </w:numPr>
              <w:snapToGrid w:val="0"/>
              <w:spacing w:after="0" w:line="240" w:lineRule="auto"/>
              <w:ind w:left="170" w:hanging="170"/>
              <w:jc w:val="both"/>
              <w:rPr>
                <w:rFonts w:ascii="Garamond" w:hAnsi="Garamond" w:cs="Arial"/>
                <w:b/>
                <w:color w:val="000000" w:themeColor="text1"/>
                <w:sz w:val="16"/>
                <w:szCs w:val="16"/>
              </w:rPr>
            </w:pPr>
            <w:r w:rsidRPr="00C613D1">
              <w:rPr>
                <w:rFonts w:ascii="Garamond" w:hAnsi="Garamond" w:cs="Arial"/>
                <w:color w:val="000000" w:themeColor="text1"/>
                <w:sz w:val="16"/>
                <w:szCs w:val="16"/>
              </w:rPr>
              <w:t>Szacowany roczny spadek em</w:t>
            </w:r>
            <w:r w:rsidR="00406795" w:rsidRPr="00C613D1">
              <w:rPr>
                <w:rFonts w:ascii="Garamond" w:hAnsi="Garamond" w:cs="Arial"/>
                <w:color w:val="000000" w:themeColor="text1"/>
                <w:sz w:val="16"/>
                <w:szCs w:val="16"/>
              </w:rPr>
              <w:t>isji gazów cieplarnianych 150,37</w:t>
            </w:r>
            <w:r w:rsidRPr="00C613D1">
              <w:rPr>
                <w:rFonts w:ascii="Garamond" w:hAnsi="Garamond" w:cs="Arial"/>
                <w:color w:val="000000" w:themeColor="text1"/>
                <w:sz w:val="16"/>
                <w:szCs w:val="16"/>
              </w:rPr>
              <w:t xml:space="preserve"> ( Mg CO</w:t>
            </w:r>
            <w:r w:rsidRPr="00C613D1">
              <w:rPr>
                <w:rFonts w:ascii="Garamond" w:hAnsi="Garamond" w:cs="Arial"/>
                <w:color w:val="000000" w:themeColor="text1"/>
                <w:sz w:val="16"/>
                <w:szCs w:val="16"/>
                <w:vertAlign w:val="subscript"/>
              </w:rPr>
              <w:t xml:space="preserve">2 </w:t>
            </w:r>
            <w:r w:rsidRPr="00C613D1">
              <w:rPr>
                <w:rFonts w:ascii="Garamond" w:hAnsi="Garamond" w:cs="Arial"/>
                <w:color w:val="000000" w:themeColor="text1"/>
                <w:sz w:val="16"/>
                <w:szCs w:val="16"/>
              </w:rPr>
              <w:t>).</w:t>
            </w:r>
          </w:p>
          <w:p w:rsidR="000326FF" w:rsidRPr="00C613D1" w:rsidRDefault="000326FF" w:rsidP="000326FF">
            <w:pPr>
              <w:pStyle w:val="Akapitzlist"/>
              <w:numPr>
                <w:ilvl w:val="0"/>
                <w:numId w:val="104"/>
              </w:numPr>
              <w:spacing w:after="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 Liczba  przewozów pasażerów  komunikacją miejską na 1 mieszkańca  obszarów miejskich - 26</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17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bCs/>
                <w:color w:val="000000" w:themeColor="text1"/>
                <w:sz w:val="16"/>
                <w:szCs w:val="16"/>
              </w:rPr>
            </w:pPr>
            <w:r w:rsidRPr="00C613D1">
              <w:rPr>
                <w:rFonts w:ascii="Garamond" w:hAnsi="Garamond" w:cs="Arial"/>
                <w:color w:val="000000" w:themeColor="text1"/>
                <w:sz w:val="16"/>
                <w:szCs w:val="16"/>
              </w:rPr>
              <w:t>Konserwację ołtarza głównego i ołtarza Św. Mikołaja w kościele farnym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Rzymsko-katolicka pw. Św. Katarzyny  Aleksandryjskiej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 xml:space="preserve">530 000,00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450 500,00</w:t>
            </w:r>
          </w:p>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79 500,00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2 sztuka</w:t>
            </w:r>
          </w:p>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Wzrost oczekiwanej liczby odwiedzin w objętych wsparciem miejscach należących do dziedzictwa kulturowego i naturalnego oraz stanowiących atrakcje turystyczne – odwiedziny/rok – 1500 osób </w:t>
            </w:r>
          </w:p>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ołtarzy poddana konserwacji – 330 m</w:t>
            </w:r>
            <w:r w:rsidRPr="00C613D1">
              <w:rPr>
                <w:rFonts w:ascii="Garamond" w:hAnsi="Garamond" w:cs="Arial"/>
                <w:color w:val="000000" w:themeColor="text1"/>
                <w:sz w:val="16"/>
                <w:szCs w:val="16"/>
                <w:vertAlign w:val="superscript"/>
              </w:rPr>
              <w:t xml:space="preserve">2  </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17a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color w:val="000000" w:themeColor="text1"/>
                <w:sz w:val="16"/>
                <w:szCs w:val="16"/>
              </w:rPr>
            </w:pPr>
            <w:r w:rsidRPr="00C613D1">
              <w:rPr>
                <w:rFonts w:ascii="Garamond" w:hAnsi="Garamond" w:cs="Arial"/>
                <w:color w:val="000000" w:themeColor="text1"/>
                <w:sz w:val="16"/>
                <w:szCs w:val="16"/>
              </w:rPr>
              <w:t>Konserwacja ołtarza głównego i ołtarza Św. Stanisława w kościele p.w. Św. Piotra i Pawła w Lembargu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 –Katolicka p.w. św. Piotra i Pawła w Lembargu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400 000,00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340 000,00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2 sztuka</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główny – 100m2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p.w. Św. Stanisława – 10m2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Wzrost oczekiwanej liczby odwiedzin w objętych wsparciem miejscach należących do dziedzictwa kulturowego i naturalnego oraz stanowiących atrakcje turystyczne – 50 odwiedzin/rok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17b</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rPr>
                <w:rFonts w:ascii="Garamond" w:hAnsi="Garamond" w:cs="Arial"/>
                <w:color w:val="000000" w:themeColor="text1"/>
                <w:sz w:val="16"/>
                <w:szCs w:val="16"/>
              </w:rPr>
            </w:pPr>
            <w:r w:rsidRPr="00C613D1">
              <w:rPr>
                <w:rFonts w:ascii="Garamond" w:hAnsi="Garamond" w:cs="Arial"/>
                <w:color w:val="000000" w:themeColor="text1"/>
                <w:sz w:val="16"/>
                <w:szCs w:val="16"/>
              </w:rPr>
              <w:t>Konserwacja ołtarza bocznego południowego p.w. Matki Boskiej – etap II, w kościele p.w. Św. Wojciecha w Jabłonowie Pomorskim z siedzibą w Jabłonowie -Zamku</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Parafia Rzymsko-Katolicka p.w. Św. Wojciecha w Jabłonowie Pomorskim z siedzibą w Jabłonowie-Zamku</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186 000,00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158 100,00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27 900,00</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6c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105"/>
              </w:numPr>
              <w:spacing w:before="40" w:after="40"/>
              <w:ind w:left="170" w:hanging="170"/>
              <w:jc w:val="both"/>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Liczba zabytków nieruchomych objętych wsparciem – 1</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Ołtarz boczny(południowy)  – 43m2</w:t>
            </w:r>
          </w:p>
          <w:p w:rsidR="000326FF" w:rsidRPr="00C613D1" w:rsidRDefault="000326FF" w:rsidP="000326FF">
            <w:pPr>
              <w:pStyle w:val="Akapitzlist"/>
              <w:numPr>
                <w:ilvl w:val="0"/>
                <w:numId w:val="105"/>
              </w:numPr>
              <w:spacing w:before="40" w:after="40"/>
              <w:ind w:left="170" w:hanging="170"/>
              <w:jc w:val="both"/>
              <w:rPr>
                <w:rFonts w:ascii="Garamond" w:eastAsia="Times New Roman" w:hAnsi="Garamond" w:cs="Arial"/>
                <w:bCs/>
                <w:color w:val="000000" w:themeColor="text1"/>
                <w:sz w:val="16"/>
                <w:szCs w:val="16"/>
              </w:rPr>
            </w:pPr>
            <w:r w:rsidRPr="00C613D1">
              <w:rPr>
                <w:rFonts w:ascii="Garamond" w:hAnsi="Garamond" w:cs="Arial"/>
                <w:color w:val="000000" w:themeColor="text1"/>
                <w:sz w:val="16"/>
                <w:szCs w:val="16"/>
              </w:rPr>
              <w:t>Wzrost oczekiwanej liczby odwiedzin w objętych wsparciem miejscach należących do dziedzictwa kulturowego i naturalnego oraz stanowiących atrakcje turystyczne – 150 odwiedzin/rok</w:t>
            </w:r>
          </w:p>
          <w:p w:rsidR="000326FF" w:rsidRPr="00C613D1" w:rsidRDefault="000326FF" w:rsidP="00324C7B">
            <w:pPr>
              <w:pStyle w:val="Akapitzlist"/>
              <w:spacing w:before="40" w:after="40"/>
              <w:ind w:left="170"/>
              <w:jc w:val="both"/>
              <w:rPr>
                <w:rFonts w:ascii="Garamond" w:eastAsia="Times New Roman" w:hAnsi="Garamond" w:cs="Arial"/>
                <w:bCs/>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pStyle w:val="Zawartotabeli"/>
              <w:rPr>
                <w:rFonts w:ascii="Garamond" w:hAnsi="Garamond" w:cs="Arial"/>
                <w:bCs/>
                <w:strike/>
                <w:color w:val="000000" w:themeColor="text1"/>
                <w:sz w:val="16"/>
                <w:szCs w:val="16"/>
              </w:rPr>
            </w:pPr>
            <w:r w:rsidRPr="000F42D0">
              <w:rPr>
                <w:rFonts w:ascii="Garamond" w:hAnsi="Garamond" w:cs="Arial"/>
                <w:strike/>
                <w:color w:val="000000" w:themeColor="text1"/>
                <w:sz w:val="16"/>
                <w:szCs w:val="16"/>
              </w:rPr>
              <w:t>Rewitalizacja zespołów parkowych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2A5C94">
            <w:pPr>
              <w:pStyle w:val="S1"/>
              <w:numPr>
                <w:ilvl w:val="0"/>
                <w:numId w:val="0"/>
              </w:numPr>
              <w:spacing w:before="40" w:after="40" w:line="240" w:lineRule="auto"/>
              <w:rPr>
                <w:b w:val="0"/>
                <w:strike/>
                <w:color w:val="000000" w:themeColor="text1"/>
                <w:sz w:val="16"/>
                <w:szCs w:val="16"/>
              </w:rPr>
            </w:pPr>
            <w:r w:rsidRPr="000F42D0">
              <w:rPr>
                <w:b w:val="0"/>
                <w:strike/>
                <w:color w:val="000000" w:themeColor="text1"/>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0F42D0" w:rsidRDefault="000326FF" w:rsidP="00324C7B">
            <w:pPr>
              <w:spacing w:before="40" w:after="40"/>
              <w:rPr>
                <w:rFonts w:ascii="Garamond" w:hAnsi="Garamond" w:cs="Arial"/>
                <w:strike/>
                <w:color w:val="000000" w:themeColor="text1"/>
                <w:sz w:val="16"/>
                <w:szCs w:val="16"/>
              </w:rPr>
            </w:pPr>
            <w:r w:rsidRPr="000F42D0">
              <w:rPr>
                <w:rFonts w:ascii="Garamond" w:hAnsi="Garamond" w:cs="Arial"/>
                <w:strike/>
                <w:color w:val="000000" w:themeColor="text1"/>
                <w:sz w:val="16"/>
                <w:szCs w:val="16"/>
              </w:rPr>
              <w:t>Gmina Miasta  Brodnicy</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0F42D0" w:rsidRDefault="000326FF" w:rsidP="00324C7B">
            <w:pPr>
              <w:spacing w:before="40" w:after="40"/>
              <w:jc w:val="right"/>
              <w:rPr>
                <w:rFonts w:ascii="Garamond" w:hAnsi="Garamond" w:cs="Arial"/>
                <w:strike/>
                <w:color w:val="000000" w:themeColor="text1"/>
                <w:sz w:val="16"/>
                <w:szCs w:val="16"/>
              </w:rPr>
            </w:pPr>
            <w:r w:rsidRPr="000F42D0">
              <w:rPr>
                <w:rFonts w:ascii="Garamond" w:hAnsi="Garamond" w:cs="Arial"/>
                <w:strike/>
                <w:color w:val="000000" w:themeColor="text1"/>
                <w:sz w:val="16"/>
                <w:szCs w:val="16"/>
              </w:rPr>
              <w:t xml:space="preserve">1 600 000,00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0326FF">
            <w:pPr>
              <w:pStyle w:val="Akapitzlist"/>
              <w:numPr>
                <w:ilvl w:val="0"/>
                <w:numId w:val="74"/>
              </w:numPr>
              <w:spacing w:before="40" w:after="40" w:line="240" w:lineRule="auto"/>
              <w:ind w:left="170" w:hanging="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EFRR</w:t>
            </w:r>
          </w:p>
          <w:p w:rsidR="000326FF" w:rsidRPr="000F42D0" w:rsidRDefault="000326FF" w:rsidP="00324C7B">
            <w:pPr>
              <w:pStyle w:val="Akapitzlist"/>
              <w:spacing w:before="40" w:after="40" w:line="240" w:lineRule="auto"/>
              <w:ind w:left="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1 360 000,00</w:t>
            </w:r>
          </w:p>
          <w:p w:rsidR="000326FF" w:rsidRPr="000F42D0" w:rsidRDefault="000326FF" w:rsidP="000326FF">
            <w:pPr>
              <w:pStyle w:val="Akapitzlist"/>
              <w:numPr>
                <w:ilvl w:val="0"/>
                <w:numId w:val="74"/>
              </w:numPr>
              <w:spacing w:before="40" w:after="40" w:line="240" w:lineRule="auto"/>
              <w:ind w:left="170" w:hanging="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Środki własne</w:t>
            </w:r>
          </w:p>
          <w:p w:rsidR="000326FF" w:rsidRPr="000F42D0" w:rsidRDefault="000326FF" w:rsidP="00324C7B">
            <w:pPr>
              <w:pStyle w:val="Akapitzlist"/>
              <w:spacing w:before="40" w:after="40" w:line="240" w:lineRule="auto"/>
              <w:ind w:left="170"/>
              <w:rPr>
                <w:rFonts w:ascii="Garamond" w:hAnsi="Garamond" w:cs="Arial"/>
                <w:strike/>
                <w:color w:val="000000" w:themeColor="text1"/>
                <w:sz w:val="16"/>
                <w:szCs w:val="16"/>
              </w:rPr>
            </w:pPr>
            <w:r w:rsidRPr="000F42D0">
              <w:rPr>
                <w:rFonts w:ascii="Garamond" w:eastAsia="Times New Roman" w:hAnsi="Garamond" w:cs="Arial"/>
                <w:bCs/>
                <w:strike/>
                <w:color w:val="000000" w:themeColor="text1"/>
                <w:sz w:val="16"/>
                <w:szCs w:val="16"/>
              </w:rPr>
              <w:t>240 000,00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324C7B">
            <w:pPr>
              <w:spacing w:before="40" w:after="40"/>
              <w:jc w:val="center"/>
              <w:rPr>
                <w:rFonts w:ascii="Garamond" w:hAnsi="Garamond" w:cs="Arial"/>
                <w:strike/>
                <w:color w:val="000000" w:themeColor="text1"/>
                <w:sz w:val="16"/>
                <w:szCs w:val="16"/>
              </w:rPr>
            </w:pPr>
            <w:r w:rsidRPr="000F42D0">
              <w:rPr>
                <w:rFonts w:ascii="Garamond" w:hAnsi="Garamond" w:cs="Arial"/>
                <w:strike/>
                <w:color w:val="000000" w:themeColor="text1"/>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0F42D0" w:rsidRDefault="000326FF" w:rsidP="000326FF">
            <w:pPr>
              <w:pStyle w:val="Akapitzlist"/>
              <w:numPr>
                <w:ilvl w:val="0"/>
                <w:numId w:val="106"/>
              </w:numPr>
              <w:spacing w:before="40" w:after="40"/>
              <w:ind w:left="170" w:hanging="170"/>
              <w:jc w:val="both"/>
              <w:rPr>
                <w:rFonts w:ascii="Garamond" w:hAnsi="Garamond" w:cs="Arial"/>
                <w:strike/>
                <w:color w:val="000000" w:themeColor="text1"/>
                <w:sz w:val="16"/>
                <w:szCs w:val="16"/>
              </w:rPr>
            </w:pPr>
            <w:r w:rsidRPr="000F42D0">
              <w:rPr>
                <w:rFonts w:ascii="Garamond" w:hAnsi="Garamond" w:cs="Arial"/>
                <w:strike/>
                <w:color w:val="000000" w:themeColor="text1"/>
                <w:sz w:val="16"/>
                <w:szCs w:val="16"/>
              </w:rPr>
              <w:t>Powierzchnia zrewitalizowanego obszaru – 3,3625 ha</w:t>
            </w:r>
          </w:p>
          <w:p w:rsidR="000326FF" w:rsidRPr="000F42D0" w:rsidRDefault="000326FF" w:rsidP="000326FF">
            <w:pPr>
              <w:pStyle w:val="Akapitzlist"/>
              <w:numPr>
                <w:ilvl w:val="0"/>
                <w:numId w:val="106"/>
              </w:numPr>
              <w:spacing w:before="40" w:after="40"/>
              <w:ind w:left="170" w:hanging="170"/>
              <w:jc w:val="both"/>
              <w:rPr>
                <w:rFonts w:ascii="Garamond" w:hAnsi="Garamond" w:cs="Arial"/>
                <w:strike/>
                <w:color w:val="000000" w:themeColor="text1"/>
                <w:sz w:val="16"/>
                <w:szCs w:val="16"/>
              </w:rPr>
            </w:pPr>
            <w:r w:rsidRPr="000F42D0">
              <w:rPr>
                <w:rFonts w:ascii="Garamond" w:hAnsi="Garamond" w:cs="Arial"/>
                <w:strike/>
                <w:color w:val="000000" w:themeColor="text1"/>
                <w:sz w:val="16"/>
                <w:szCs w:val="16"/>
              </w:rPr>
              <w:t>Liczba osób wykluczonych społecznie  zaangażowanych  do projektu – 10 osób</w:t>
            </w:r>
          </w:p>
        </w:tc>
      </w:tr>
      <w:tr w:rsidR="005124AB"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5124AB" w:rsidRPr="0091486A" w:rsidRDefault="005124AB" w:rsidP="00324C7B">
            <w:pPr>
              <w:spacing w:before="40" w:after="40"/>
              <w:jc w:val="center"/>
              <w:rPr>
                <w:rFonts w:ascii="Garamond" w:hAnsi="Garamond" w:cs="Arial"/>
                <w:sz w:val="16"/>
                <w:szCs w:val="16"/>
              </w:rPr>
            </w:pPr>
            <w:r w:rsidRPr="0091486A">
              <w:rPr>
                <w:rFonts w:ascii="Garamond" w:hAnsi="Garamond" w:cs="Arial"/>
                <w:sz w:val="16"/>
                <w:szCs w:val="16"/>
              </w:rPr>
              <w:t>18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5124AB">
            <w:pPr>
              <w:pStyle w:val="Zawartotabeli"/>
              <w:rPr>
                <w:rFonts w:ascii="Garamond" w:hAnsi="Garamond" w:cs="Arial"/>
                <w:sz w:val="16"/>
                <w:szCs w:val="16"/>
              </w:rPr>
            </w:pPr>
            <w:r w:rsidRPr="0091486A">
              <w:rPr>
                <w:rFonts w:ascii="Garamond" w:hAnsi="Garamond" w:cs="Arial"/>
                <w:sz w:val="16"/>
                <w:szCs w:val="16"/>
              </w:rPr>
              <w:t xml:space="preserve">Modernizacja Brodnickiego </w:t>
            </w:r>
            <w:r w:rsidRPr="0091486A">
              <w:rPr>
                <w:rFonts w:ascii="Garamond" w:hAnsi="Garamond" w:cs="Arial"/>
                <w:sz w:val="16"/>
                <w:szCs w:val="16"/>
              </w:rPr>
              <w:lastRenderedPageBreak/>
              <w:t>Domu Kultury celem stworzenia dodatkowych powierzchni użytkowych</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324C7B">
            <w:pPr>
              <w:spacing w:before="40" w:after="40"/>
              <w:jc w:val="center"/>
              <w:rPr>
                <w:rFonts w:ascii="Garamond" w:hAnsi="Garamond" w:cs="Arial"/>
                <w:sz w:val="16"/>
                <w:szCs w:val="16"/>
              </w:rPr>
            </w:pPr>
            <w:r w:rsidRPr="0091486A">
              <w:rPr>
                <w:rFonts w:ascii="Garamond" w:hAnsi="Garamond" w:cs="Arial"/>
                <w:sz w:val="16"/>
                <w:szCs w:val="16"/>
              </w:rPr>
              <w:lastRenderedPageBreak/>
              <w:t>Gmina Miasta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2A5C94">
            <w:pPr>
              <w:pStyle w:val="S1"/>
              <w:numPr>
                <w:ilvl w:val="0"/>
                <w:numId w:val="0"/>
              </w:numPr>
              <w:spacing w:before="40" w:after="40" w:line="240" w:lineRule="auto"/>
              <w:rPr>
                <w:b w:val="0"/>
                <w:color w:val="auto"/>
                <w:sz w:val="16"/>
                <w:szCs w:val="16"/>
              </w:rPr>
            </w:pPr>
            <w:r w:rsidRPr="0091486A">
              <w:rPr>
                <w:b w:val="0"/>
                <w:color w:val="auto"/>
                <w:sz w:val="16"/>
                <w:szCs w:val="16"/>
              </w:rPr>
              <w:t xml:space="preserve">Niewystarczająca ochrona </w:t>
            </w:r>
            <w:r w:rsidRPr="0091486A">
              <w:rPr>
                <w:b w:val="0"/>
                <w:color w:val="auto"/>
                <w:sz w:val="16"/>
                <w:szCs w:val="16"/>
              </w:rPr>
              <w:lastRenderedPageBreak/>
              <w:t>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321284">
            <w:pPr>
              <w:spacing w:before="40" w:after="40"/>
              <w:jc w:val="center"/>
              <w:rPr>
                <w:rFonts w:ascii="Garamond" w:hAnsi="Garamond" w:cs="Arial"/>
                <w:sz w:val="16"/>
                <w:szCs w:val="16"/>
              </w:rPr>
            </w:pPr>
            <w:r w:rsidRPr="0091486A">
              <w:rPr>
                <w:rFonts w:ascii="Garamond" w:hAnsi="Garamond" w:cs="Arial"/>
                <w:sz w:val="16"/>
                <w:szCs w:val="16"/>
              </w:rPr>
              <w:lastRenderedPageBreak/>
              <w:t>201</w:t>
            </w:r>
            <w:r w:rsidR="00321284" w:rsidRPr="0091486A">
              <w:rPr>
                <w:rFonts w:ascii="Garamond" w:hAnsi="Garamond" w:cs="Arial"/>
                <w:sz w:val="16"/>
                <w:szCs w:val="16"/>
              </w:rPr>
              <w:t>9</w:t>
            </w:r>
            <w:r w:rsidRPr="0091486A">
              <w:rPr>
                <w:rFonts w:ascii="Garamond" w:hAnsi="Garamond" w:cs="Arial"/>
                <w:sz w:val="16"/>
                <w:szCs w:val="16"/>
              </w:rPr>
              <w:t>-2020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324C7B">
            <w:pPr>
              <w:spacing w:before="40" w:after="40"/>
              <w:rPr>
                <w:rFonts w:ascii="Garamond" w:hAnsi="Garamond" w:cs="Arial"/>
                <w:sz w:val="16"/>
                <w:szCs w:val="16"/>
              </w:rPr>
            </w:pPr>
            <w:r w:rsidRPr="0091486A">
              <w:rPr>
                <w:rFonts w:ascii="Garamond" w:hAnsi="Garamond" w:cs="Arial"/>
                <w:sz w:val="16"/>
                <w:szCs w:val="16"/>
              </w:rPr>
              <w:t xml:space="preserve">Gmina </w:t>
            </w:r>
            <w:r w:rsidRPr="0091486A">
              <w:rPr>
                <w:rFonts w:ascii="Garamond" w:hAnsi="Garamond" w:cs="Arial"/>
                <w:sz w:val="16"/>
                <w:szCs w:val="16"/>
              </w:rPr>
              <w:lastRenderedPageBreak/>
              <w:t>Miasta Brodnicy</w:t>
            </w:r>
            <w:bookmarkStart w:id="105" w:name="_GoBack"/>
            <w:bookmarkEnd w:id="105"/>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5124AB" w:rsidRPr="0091486A" w:rsidRDefault="008806F2" w:rsidP="00324C7B">
            <w:pPr>
              <w:spacing w:before="40" w:after="40"/>
              <w:jc w:val="right"/>
              <w:rPr>
                <w:rFonts w:ascii="Garamond" w:hAnsi="Garamond" w:cs="Arial"/>
                <w:sz w:val="16"/>
                <w:szCs w:val="16"/>
              </w:rPr>
            </w:pPr>
            <w:r w:rsidRPr="0091486A">
              <w:rPr>
                <w:rFonts w:ascii="Garamond" w:hAnsi="Garamond" w:cs="Arial"/>
                <w:sz w:val="16"/>
                <w:szCs w:val="16"/>
              </w:rPr>
              <w:lastRenderedPageBreak/>
              <w:t>5 647 058,82</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91486A">
              <w:rPr>
                <w:rFonts w:ascii="Garamond" w:eastAsia="Times New Roman" w:hAnsi="Garamond" w:cs="Arial"/>
                <w:bCs/>
                <w:sz w:val="16"/>
                <w:szCs w:val="16"/>
              </w:rPr>
              <w:t>EFRR</w:t>
            </w:r>
          </w:p>
          <w:p w:rsidR="005124AB" w:rsidRPr="0091486A" w:rsidRDefault="008806F2"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91486A">
              <w:rPr>
                <w:rFonts w:ascii="Garamond" w:eastAsia="Times New Roman" w:hAnsi="Garamond" w:cs="Arial"/>
                <w:bCs/>
                <w:sz w:val="16"/>
                <w:szCs w:val="16"/>
              </w:rPr>
              <w:lastRenderedPageBreak/>
              <w:t>4 800</w:t>
            </w:r>
            <w:r w:rsidR="005124AB" w:rsidRPr="0091486A">
              <w:rPr>
                <w:rFonts w:ascii="Garamond" w:eastAsia="Times New Roman" w:hAnsi="Garamond" w:cs="Arial"/>
                <w:bCs/>
                <w:sz w:val="16"/>
                <w:szCs w:val="16"/>
              </w:rPr>
              <w:t> 000,00</w:t>
            </w:r>
          </w:p>
          <w:p w:rsidR="005124AB" w:rsidRPr="0091486A" w:rsidRDefault="005124AB"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91486A">
              <w:rPr>
                <w:rFonts w:ascii="Garamond" w:eastAsia="Times New Roman" w:hAnsi="Garamond" w:cs="Arial"/>
                <w:bCs/>
                <w:sz w:val="16"/>
                <w:szCs w:val="16"/>
              </w:rPr>
              <w:t>Środki własne</w:t>
            </w:r>
          </w:p>
          <w:p w:rsidR="005124AB" w:rsidRPr="0091486A" w:rsidRDefault="008806F2"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91486A">
              <w:rPr>
                <w:rFonts w:ascii="Garamond" w:eastAsia="Times New Roman" w:hAnsi="Garamond" w:cs="Arial"/>
                <w:bCs/>
                <w:sz w:val="16"/>
                <w:szCs w:val="16"/>
              </w:rPr>
              <w:t>847 058,82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324C7B">
            <w:pPr>
              <w:spacing w:before="40" w:after="40"/>
              <w:jc w:val="center"/>
              <w:rPr>
                <w:rFonts w:ascii="Garamond" w:hAnsi="Garamond" w:cs="Arial"/>
                <w:sz w:val="16"/>
                <w:szCs w:val="16"/>
              </w:rPr>
            </w:pPr>
            <w:r w:rsidRPr="0091486A">
              <w:rPr>
                <w:rFonts w:ascii="Garamond" w:hAnsi="Garamond" w:cs="Arial"/>
                <w:sz w:val="16"/>
                <w:szCs w:val="16"/>
              </w:rPr>
              <w:lastRenderedPageBreak/>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5124AB" w:rsidRPr="0091486A" w:rsidRDefault="005124AB" w:rsidP="000326FF">
            <w:pPr>
              <w:pStyle w:val="Akapitzlist"/>
              <w:numPr>
                <w:ilvl w:val="0"/>
                <w:numId w:val="106"/>
              </w:numPr>
              <w:spacing w:before="40" w:after="40"/>
              <w:ind w:left="170" w:hanging="170"/>
              <w:jc w:val="both"/>
              <w:rPr>
                <w:rFonts w:ascii="Garamond" w:hAnsi="Garamond" w:cs="Arial"/>
                <w:sz w:val="16"/>
                <w:szCs w:val="16"/>
              </w:rPr>
            </w:pPr>
            <w:r w:rsidRPr="0091486A">
              <w:rPr>
                <w:rFonts w:ascii="Garamond" w:hAnsi="Garamond" w:cs="Arial"/>
                <w:sz w:val="16"/>
                <w:szCs w:val="16"/>
              </w:rPr>
              <w:t xml:space="preserve">Budynki publiczne lub komercyjne </w:t>
            </w:r>
            <w:r w:rsidRPr="0091486A">
              <w:rPr>
                <w:rFonts w:ascii="Garamond" w:hAnsi="Garamond" w:cs="Arial"/>
                <w:sz w:val="16"/>
                <w:szCs w:val="16"/>
              </w:rPr>
              <w:lastRenderedPageBreak/>
              <w:t>wybudowane lub wyremontowane na obszarach miejskich – 1 szt.</w:t>
            </w:r>
          </w:p>
          <w:p w:rsidR="005124AB" w:rsidRPr="0091486A" w:rsidRDefault="005124AB" w:rsidP="000326FF">
            <w:pPr>
              <w:pStyle w:val="Akapitzlist"/>
              <w:numPr>
                <w:ilvl w:val="0"/>
                <w:numId w:val="106"/>
              </w:numPr>
              <w:spacing w:before="40" w:after="40"/>
              <w:ind w:left="170" w:hanging="170"/>
              <w:jc w:val="both"/>
              <w:rPr>
                <w:rFonts w:ascii="Garamond" w:hAnsi="Garamond" w:cs="Arial"/>
                <w:sz w:val="16"/>
                <w:szCs w:val="16"/>
              </w:rPr>
            </w:pPr>
            <w:r w:rsidRPr="0091486A">
              <w:rPr>
                <w:rFonts w:ascii="Garamond" w:hAnsi="Garamond" w:cs="Arial"/>
                <w:sz w:val="16"/>
                <w:szCs w:val="16"/>
              </w:rPr>
              <w:t>Liczba wspartych obiektów infrastruktury zlokalizowanych na rewitalizowanym obszarze – 1 szt.</w:t>
            </w:r>
          </w:p>
          <w:p w:rsidR="005124AB" w:rsidRPr="0091486A" w:rsidRDefault="005124AB" w:rsidP="000326FF">
            <w:pPr>
              <w:pStyle w:val="Akapitzlist"/>
              <w:numPr>
                <w:ilvl w:val="0"/>
                <w:numId w:val="106"/>
              </w:numPr>
              <w:spacing w:before="40" w:after="40"/>
              <w:ind w:left="170" w:hanging="170"/>
              <w:jc w:val="both"/>
              <w:rPr>
                <w:rFonts w:ascii="Garamond" w:hAnsi="Garamond" w:cs="Arial"/>
                <w:sz w:val="16"/>
                <w:szCs w:val="16"/>
              </w:rPr>
            </w:pPr>
            <w:r w:rsidRPr="0091486A">
              <w:rPr>
                <w:rFonts w:ascii="Garamond" w:hAnsi="Garamond" w:cs="Arial"/>
                <w:sz w:val="16"/>
                <w:szCs w:val="16"/>
              </w:rPr>
              <w:t>Powierzchnia obszarów objętych rewitalizacją – 0,7503 ha</w:t>
            </w:r>
          </w:p>
          <w:p w:rsidR="005124AB" w:rsidRPr="0091486A" w:rsidRDefault="005124AB" w:rsidP="000326FF">
            <w:pPr>
              <w:pStyle w:val="Akapitzlist"/>
              <w:numPr>
                <w:ilvl w:val="0"/>
                <w:numId w:val="106"/>
              </w:numPr>
              <w:spacing w:before="40" w:after="40"/>
              <w:ind w:left="170" w:hanging="170"/>
              <w:jc w:val="both"/>
              <w:rPr>
                <w:rFonts w:ascii="Garamond" w:hAnsi="Garamond" w:cs="Arial"/>
                <w:sz w:val="16"/>
                <w:szCs w:val="16"/>
              </w:rPr>
            </w:pPr>
            <w:r w:rsidRPr="0091486A">
              <w:rPr>
                <w:rFonts w:ascii="Garamond" w:hAnsi="Garamond" w:cs="Arial"/>
                <w:sz w:val="16"/>
                <w:szCs w:val="16"/>
              </w:rPr>
              <w:t>Liczba osób korzystających z wybudowanych/wyremontowanych budynków publicznych lub komercyjnyc</w:t>
            </w:r>
            <w:r w:rsidR="00321284" w:rsidRPr="0091486A">
              <w:rPr>
                <w:rFonts w:ascii="Garamond" w:hAnsi="Garamond" w:cs="Arial"/>
                <w:sz w:val="16"/>
                <w:szCs w:val="16"/>
              </w:rPr>
              <w:t>h na obszarach miejskich – 1 500</w:t>
            </w:r>
            <w:r w:rsidRPr="0091486A">
              <w:rPr>
                <w:rFonts w:ascii="Garamond" w:hAnsi="Garamond" w:cs="Arial"/>
                <w:sz w:val="16"/>
                <w:szCs w:val="16"/>
              </w:rPr>
              <w:t xml:space="preserve"> osób</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0326FF" w:rsidP="00324C7B">
            <w:pPr>
              <w:spacing w:before="40" w:after="40"/>
              <w:jc w:val="center"/>
              <w:rPr>
                <w:rFonts w:ascii="Garamond" w:hAnsi="Garamond" w:cs="Arial"/>
                <w:sz w:val="16"/>
                <w:szCs w:val="16"/>
              </w:rPr>
            </w:pPr>
            <w:r w:rsidRPr="0091486A">
              <w:rPr>
                <w:rFonts w:ascii="Garamond" w:hAnsi="Garamond" w:cs="Arial"/>
                <w:sz w:val="16"/>
                <w:szCs w:val="16"/>
              </w:rPr>
              <w:lastRenderedPageBreak/>
              <w:t>20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rPr>
                <w:rFonts w:ascii="Garamond" w:hAnsi="Garamond" w:cs="Times New Roman"/>
                <w:sz w:val="16"/>
                <w:szCs w:val="16"/>
              </w:rPr>
            </w:pPr>
            <w:r w:rsidRPr="0091486A">
              <w:rPr>
                <w:rFonts w:ascii="Garamond" w:hAnsi="Garamond" w:cs="Times New Roman"/>
                <w:sz w:val="16"/>
                <w:szCs w:val="16"/>
              </w:rPr>
              <w:t>Zwiększenie liczby miejsc w przedszkolach poprzez ich rozbudowę oraz adaptację istniejących pomieszczeń  wraz z budową placów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jc w:val="center"/>
              <w:rPr>
                <w:rFonts w:ascii="Garamond" w:hAnsi="Garamond" w:cs="Arial"/>
                <w:sz w:val="16"/>
                <w:szCs w:val="16"/>
              </w:rPr>
            </w:pPr>
            <w:r w:rsidRPr="0091486A">
              <w:rPr>
                <w:rFonts w:ascii="Garamond" w:hAnsi="Garamond"/>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2A5C94">
            <w:pPr>
              <w:pStyle w:val="S1"/>
              <w:numPr>
                <w:ilvl w:val="0"/>
                <w:numId w:val="0"/>
              </w:numPr>
              <w:spacing w:before="40" w:after="40" w:line="240" w:lineRule="auto"/>
              <w:rPr>
                <w:b w:val="0"/>
                <w:color w:val="auto"/>
                <w:sz w:val="16"/>
                <w:szCs w:val="16"/>
              </w:rPr>
            </w:pPr>
            <w:r w:rsidRPr="0091486A">
              <w:rPr>
                <w:b w:val="0"/>
                <w:color w:val="auto"/>
                <w:sz w:val="16"/>
                <w:szCs w:val="16"/>
              </w:rPr>
              <w:t>Niepełne dopasowanie oferty edukacyjnej do potrzeb rynku pracy</w:t>
            </w:r>
          </w:p>
          <w:p w:rsidR="000326FF" w:rsidRPr="0091486A" w:rsidRDefault="000326FF" w:rsidP="002A5C94">
            <w:pPr>
              <w:pStyle w:val="S1"/>
              <w:numPr>
                <w:ilvl w:val="0"/>
                <w:numId w:val="0"/>
              </w:numPr>
              <w:spacing w:before="40" w:after="40" w:line="240" w:lineRule="auto"/>
              <w:rPr>
                <w:b w:val="0"/>
                <w:color w:val="auto"/>
                <w:sz w:val="16"/>
                <w:szCs w:val="16"/>
              </w:rPr>
            </w:pPr>
          </w:p>
          <w:p w:rsidR="000326FF" w:rsidRPr="0091486A" w:rsidRDefault="000326FF" w:rsidP="002A5C94">
            <w:pPr>
              <w:pStyle w:val="S1"/>
              <w:numPr>
                <w:ilvl w:val="0"/>
                <w:numId w:val="0"/>
              </w:numPr>
              <w:spacing w:before="40" w:after="40" w:line="240" w:lineRule="auto"/>
              <w:rPr>
                <w:b w:val="0"/>
                <w:color w:val="auto"/>
                <w:sz w:val="16"/>
                <w:szCs w:val="16"/>
              </w:rPr>
            </w:pPr>
            <w:r w:rsidRPr="0091486A">
              <w:rPr>
                <w:b w:val="0"/>
                <w:color w:val="auto"/>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324C7B">
            <w:pPr>
              <w:spacing w:before="40" w:after="40"/>
              <w:jc w:val="center"/>
              <w:rPr>
                <w:rFonts w:ascii="Garamond" w:hAnsi="Garamond" w:cs="Arial"/>
                <w:sz w:val="16"/>
                <w:szCs w:val="16"/>
              </w:rPr>
            </w:pPr>
            <w:r w:rsidRPr="0091486A">
              <w:rPr>
                <w:rFonts w:ascii="Garamond" w:hAnsi="Garamond" w:cs="Arial"/>
                <w:sz w:val="16"/>
                <w:szCs w:val="16"/>
              </w:rPr>
              <w:t>2016-2018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rPr>
                <w:rFonts w:ascii="Garamond" w:hAnsi="Garamond" w:cs="Arial"/>
                <w:sz w:val="16"/>
                <w:szCs w:val="16"/>
              </w:rPr>
            </w:pPr>
            <w:r w:rsidRPr="0091486A">
              <w:rPr>
                <w:rFonts w:ascii="Garamond" w:hAnsi="Garamond"/>
                <w:sz w:val="16"/>
                <w:szCs w:val="16"/>
              </w:rPr>
              <w:t>Gmina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CA4E40" w:rsidP="00492F4D">
            <w:pPr>
              <w:jc w:val="right"/>
              <w:rPr>
                <w:rFonts w:ascii="Garamond" w:hAnsi="Garamond" w:cs="Times New Roman"/>
                <w:sz w:val="16"/>
                <w:szCs w:val="16"/>
              </w:rPr>
            </w:pPr>
            <w:r w:rsidRPr="0091486A">
              <w:rPr>
                <w:rFonts w:ascii="Garamond" w:hAnsi="Garamond" w:cs="Times New Roman"/>
                <w:sz w:val="16"/>
                <w:szCs w:val="16"/>
              </w:rPr>
              <w:t>927 901,98</w:t>
            </w:r>
            <w:r w:rsidR="000326FF" w:rsidRPr="0091486A">
              <w:rPr>
                <w:rFonts w:ascii="Garamond" w:hAnsi="Garamond" w:cs="Times New Roman"/>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1486A">
              <w:rPr>
                <w:rFonts w:ascii="Garamond" w:eastAsia="Times New Roman" w:hAnsi="Garamond" w:cs="Arial"/>
                <w:bCs/>
                <w:sz w:val="16"/>
                <w:szCs w:val="16"/>
              </w:rPr>
              <w:t>EFRR</w:t>
            </w:r>
          </w:p>
          <w:p w:rsidR="008806F2" w:rsidRPr="0091486A" w:rsidRDefault="008806F2" w:rsidP="008806F2">
            <w:pPr>
              <w:pStyle w:val="Akapitzlist"/>
              <w:spacing w:before="40" w:after="40" w:line="240" w:lineRule="auto"/>
              <w:ind w:left="170"/>
              <w:rPr>
                <w:rFonts w:ascii="Garamond" w:hAnsi="Garamond" w:cs="Arial"/>
                <w:sz w:val="16"/>
                <w:szCs w:val="16"/>
              </w:rPr>
            </w:pPr>
            <w:r w:rsidRPr="0091486A">
              <w:rPr>
                <w:rFonts w:ascii="Garamond" w:hAnsi="Garamond" w:cs="Arial"/>
                <w:sz w:val="16"/>
                <w:szCs w:val="16"/>
              </w:rPr>
              <w:t>580 266,68</w:t>
            </w:r>
          </w:p>
          <w:p w:rsidR="000326FF" w:rsidRPr="0091486A" w:rsidRDefault="000326FF" w:rsidP="00324C7B">
            <w:pPr>
              <w:pStyle w:val="Akapitzlist"/>
              <w:spacing w:before="40" w:after="40" w:line="240" w:lineRule="auto"/>
              <w:ind w:left="170"/>
              <w:rPr>
                <w:rFonts w:ascii="Garamond" w:hAnsi="Garamond" w:cs="Arial"/>
                <w:sz w:val="16"/>
                <w:szCs w:val="16"/>
              </w:rPr>
            </w:pPr>
          </w:p>
          <w:p w:rsidR="000326FF" w:rsidRPr="0091486A" w:rsidRDefault="000326FF" w:rsidP="000326FF">
            <w:pPr>
              <w:pStyle w:val="Akapitzlist"/>
              <w:numPr>
                <w:ilvl w:val="0"/>
                <w:numId w:val="74"/>
              </w:numPr>
              <w:spacing w:before="40" w:after="40" w:line="240" w:lineRule="auto"/>
              <w:ind w:left="170" w:hanging="170"/>
              <w:rPr>
                <w:rFonts w:ascii="Garamond" w:hAnsi="Garamond" w:cs="Arial"/>
                <w:sz w:val="16"/>
                <w:szCs w:val="16"/>
              </w:rPr>
            </w:pPr>
            <w:r w:rsidRPr="0091486A">
              <w:rPr>
                <w:rFonts w:ascii="Garamond" w:eastAsia="Times New Roman" w:hAnsi="Garamond" w:cs="Arial"/>
                <w:bCs/>
                <w:sz w:val="16"/>
                <w:szCs w:val="16"/>
              </w:rPr>
              <w:t>Środki własne</w:t>
            </w:r>
          </w:p>
          <w:p w:rsidR="000326FF" w:rsidRPr="0091486A" w:rsidRDefault="008806F2" w:rsidP="00324C7B">
            <w:pPr>
              <w:pStyle w:val="Akapitzlist"/>
              <w:spacing w:before="40" w:after="40" w:line="240" w:lineRule="auto"/>
              <w:ind w:left="170"/>
              <w:rPr>
                <w:rFonts w:ascii="Garamond" w:hAnsi="Garamond" w:cs="Arial"/>
                <w:sz w:val="16"/>
                <w:szCs w:val="16"/>
              </w:rPr>
            </w:pPr>
            <w:r w:rsidRPr="0091486A">
              <w:rPr>
                <w:rFonts w:ascii="Garamond" w:hAnsi="Garamond" w:cs="Arial"/>
                <w:sz w:val="16"/>
                <w:szCs w:val="16"/>
              </w:rPr>
              <w:t>347 634,30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324C7B">
            <w:pPr>
              <w:spacing w:before="40" w:after="40"/>
              <w:jc w:val="center"/>
              <w:rPr>
                <w:rFonts w:ascii="Garamond" w:hAnsi="Garamond" w:cs="Arial"/>
                <w:sz w:val="16"/>
                <w:szCs w:val="16"/>
              </w:rPr>
            </w:pPr>
            <w:r w:rsidRPr="0091486A">
              <w:rPr>
                <w:rFonts w:ascii="Garamond" w:hAnsi="Garamond" w:cs="Arial"/>
                <w:sz w:val="16"/>
                <w:szCs w:val="16"/>
              </w:rPr>
              <w:t>10a</w:t>
            </w:r>
          </w:p>
          <w:p w:rsidR="000326FF" w:rsidRPr="0091486A" w:rsidRDefault="000326FF" w:rsidP="00324C7B">
            <w:pPr>
              <w:spacing w:before="40" w:after="40"/>
              <w:rPr>
                <w:rFonts w:ascii="Garamond" w:hAnsi="Garamond" w:cs="Arial"/>
                <w:sz w:val="16"/>
                <w:szCs w:val="16"/>
              </w:rPr>
            </w:pP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0326FF">
            <w:pPr>
              <w:pStyle w:val="Akapitzlist"/>
              <w:numPr>
                <w:ilvl w:val="0"/>
                <w:numId w:val="108"/>
              </w:numPr>
              <w:spacing w:after="0" w:line="23" w:lineRule="atLeast"/>
              <w:ind w:left="170" w:hanging="170"/>
              <w:jc w:val="both"/>
              <w:rPr>
                <w:rFonts w:ascii="Garamond" w:hAnsi="Garamond"/>
                <w:sz w:val="16"/>
                <w:szCs w:val="16"/>
              </w:rPr>
            </w:pPr>
            <w:r w:rsidRPr="0091486A">
              <w:rPr>
                <w:rFonts w:ascii="Garamond" w:hAnsi="Garamond"/>
                <w:sz w:val="16"/>
                <w:szCs w:val="16"/>
              </w:rPr>
              <w:t xml:space="preserve">Odsetek dzieci w wieku 3-4 lata objętych wychowaniem przedszkolnym – 50 % </w:t>
            </w:r>
          </w:p>
          <w:p w:rsidR="000326FF" w:rsidRPr="0091486A"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1486A">
              <w:rPr>
                <w:rFonts w:ascii="Garamond" w:hAnsi="Garamond"/>
                <w:sz w:val="16"/>
                <w:szCs w:val="16"/>
              </w:rPr>
              <w:t>Liczba miejsc w infrastrukturze przedszkolnej – dla 75 osób</w:t>
            </w:r>
          </w:p>
          <w:p w:rsidR="000326FF" w:rsidRPr="0091486A" w:rsidRDefault="000326FF" w:rsidP="000326FF">
            <w:pPr>
              <w:pStyle w:val="Akapitzlist"/>
              <w:numPr>
                <w:ilvl w:val="0"/>
                <w:numId w:val="108"/>
              </w:numPr>
              <w:spacing w:before="40" w:after="40" w:line="240" w:lineRule="auto"/>
              <w:ind w:left="170" w:hanging="170"/>
              <w:jc w:val="both"/>
              <w:rPr>
                <w:rFonts w:ascii="Garamond" w:hAnsi="Garamond" w:cs="Arial"/>
                <w:sz w:val="16"/>
                <w:szCs w:val="16"/>
              </w:rPr>
            </w:pPr>
            <w:r w:rsidRPr="0091486A">
              <w:rPr>
                <w:rFonts w:ascii="Garamond" w:hAnsi="Garamond"/>
                <w:sz w:val="16"/>
                <w:szCs w:val="16"/>
              </w:rPr>
              <w:t>Liczba obiektów infrastruktury jednostek organizacyjnych - 3</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860816" w:rsidP="00324C7B">
            <w:pPr>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Roz</w:t>
            </w:r>
            <w:r w:rsidR="00584383" w:rsidRPr="00C613D1">
              <w:rPr>
                <w:rFonts w:ascii="Garamond" w:hAnsi="Garamond" w:cs="Times New Roman"/>
                <w:color w:val="000000" w:themeColor="text1"/>
                <w:sz w:val="16"/>
                <w:szCs w:val="16"/>
              </w:rPr>
              <w:t>budowa drogi wojewódzkiej nr 560 polegająca na budowie ścieżki pieszo-rowerowej z miejscowości Osiek przez wieś Gorczenica (gm. Brodnica) do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olor w:val="000000" w:themeColor="text1"/>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Obniżony poziom infrastruktury technicznej</w:t>
            </w:r>
          </w:p>
          <w:p w:rsidR="000326FF" w:rsidRPr="00C613D1" w:rsidRDefault="000326FF" w:rsidP="002A5C94">
            <w:pPr>
              <w:pStyle w:val="S1"/>
              <w:numPr>
                <w:ilvl w:val="0"/>
                <w:numId w:val="0"/>
              </w:numPr>
              <w:spacing w:before="40" w:after="40" w:line="240" w:lineRule="auto"/>
              <w:rPr>
                <w:b w:val="0"/>
                <w:color w:val="000000" w:themeColor="text1"/>
                <w:sz w:val="16"/>
                <w:szCs w:val="16"/>
              </w:rPr>
            </w:pPr>
          </w:p>
          <w:p w:rsidR="000326FF" w:rsidRPr="00C613D1" w:rsidRDefault="000326FF" w:rsidP="002A5C94">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Zły stan techniczny taboru komunikacji miejskiej oraz niedostatecznie rozwinięta polityka parkingowa w miastach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62C72"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01.2017-12.2019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Miasta Brodnicy</w:t>
            </w:r>
          </w:p>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Brodnica</w:t>
            </w:r>
          </w:p>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Osiek</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pStyle w:val="Akapitzlist"/>
              <w:ind w:left="360"/>
              <w:jc w:val="right"/>
              <w:rPr>
                <w:rFonts w:ascii="Garamond" w:hAnsi="Garamond"/>
                <w:color w:val="000000" w:themeColor="text1"/>
                <w:sz w:val="16"/>
                <w:szCs w:val="16"/>
              </w:rPr>
            </w:pPr>
            <w:r w:rsidRPr="00C613D1">
              <w:rPr>
                <w:rFonts w:ascii="Garamond" w:hAnsi="Garamond"/>
                <w:color w:val="000000" w:themeColor="text1"/>
                <w:sz w:val="16"/>
                <w:szCs w:val="16"/>
              </w:rPr>
              <w:t>6 878 047,53</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2 000 000,00</w:t>
            </w:r>
          </w:p>
          <w:p w:rsidR="000326FF" w:rsidRPr="00C613D1" w:rsidRDefault="000326FF" w:rsidP="000326FF">
            <w:pPr>
              <w:pStyle w:val="Akapitzlist"/>
              <w:numPr>
                <w:ilvl w:val="0"/>
                <w:numId w:val="74"/>
              </w:numPr>
              <w:spacing w:before="40" w:after="40" w:line="240" w:lineRule="auto"/>
              <w:ind w:left="170" w:hanging="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4 878 047,53</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4e</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Zawartotabeli"/>
              <w:numPr>
                <w:ilvl w:val="0"/>
                <w:numId w:val="109"/>
              </w:numPr>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Długość wybudowanych ścieżek rowerowych – 6,65 km</w:t>
            </w:r>
          </w:p>
          <w:p w:rsidR="000326FF" w:rsidRPr="00C613D1" w:rsidRDefault="000326FF" w:rsidP="000326FF">
            <w:pPr>
              <w:pStyle w:val="Zawartotabeli"/>
              <w:numPr>
                <w:ilvl w:val="0"/>
                <w:numId w:val="109"/>
              </w:numPr>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Oszacowany roczny spadek emisji gazów cieplarnianych (CI34)- 1,09MG/rok</w:t>
            </w:r>
          </w:p>
          <w:p w:rsidR="000326FF" w:rsidRPr="00C613D1" w:rsidRDefault="000326FF" w:rsidP="000326FF">
            <w:pPr>
              <w:pStyle w:val="Zawartotabeli"/>
              <w:numPr>
                <w:ilvl w:val="0"/>
                <w:numId w:val="109"/>
              </w:numPr>
              <w:ind w:left="170" w:hanging="170"/>
              <w:jc w:val="both"/>
              <w:rPr>
                <w:rFonts w:ascii="Garamond" w:hAnsi="Garamond" w:cs="Arial"/>
                <w:color w:val="000000" w:themeColor="text1"/>
                <w:sz w:val="16"/>
                <w:szCs w:val="16"/>
              </w:rPr>
            </w:pPr>
            <w:r w:rsidRPr="00C613D1">
              <w:rPr>
                <w:rFonts w:ascii="Garamond" w:hAnsi="Garamond"/>
                <w:color w:val="000000" w:themeColor="text1"/>
                <w:sz w:val="16"/>
                <w:szCs w:val="16"/>
              </w:rPr>
              <w:t>Liczba osób korzystających z wybudowanych dróg dla rowerów – 1500 os./rok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23</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w:t>
            </w:r>
            <w:r w:rsidR="000810DC" w:rsidRPr="00C613D1">
              <w:rPr>
                <w:rFonts w:ascii="Garamond" w:eastAsia="Times New Roman" w:hAnsi="Garamond" w:cs="Arial"/>
                <w:color w:val="000000" w:themeColor="text1"/>
                <w:sz w:val="16"/>
                <w:szCs w:val="16"/>
              </w:rPr>
              <w:t xml:space="preserve">a budynku szkoły w </w:t>
            </w:r>
            <w:r w:rsidRPr="00C613D1">
              <w:rPr>
                <w:rFonts w:ascii="Garamond" w:eastAsia="Times New Roman" w:hAnsi="Garamond" w:cs="Arial"/>
                <w:color w:val="000000" w:themeColor="text1"/>
                <w:sz w:val="16"/>
                <w:szCs w:val="16"/>
              </w:rPr>
              <w:t>Gołkowie w celu ograniczenia strat ciepła oraz poprawienia jakości powietrza atmosferycznego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D6081D"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810DC"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1 0</w:t>
            </w:r>
            <w:r w:rsidR="000326FF" w:rsidRPr="00C613D1">
              <w:rPr>
                <w:rFonts w:ascii="Garamond" w:eastAsia="Times New Roman" w:hAnsi="Garamond" w:cs="Arial"/>
                <w:color w:val="000000" w:themeColor="text1"/>
                <w:sz w:val="16"/>
                <w:szCs w:val="16"/>
              </w:rPr>
              <w:t>00 000,00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8D3751" w:rsidP="008D3751">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850</w:t>
            </w:r>
            <w:r w:rsidR="000326FF" w:rsidRPr="00C613D1">
              <w:rPr>
                <w:rFonts w:ascii="Garamond" w:eastAsia="Times New Roman" w:hAnsi="Garamond" w:cs="Arial"/>
                <w:color w:val="000000" w:themeColor="text1"/>
                <w:sz w:val="16"/>
                <w:szCs w:val="16"/>
              </w:rPr>
              <w:t>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8D3751"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150</w:t>
            </w:r>
            <w:r w:rsidR="000326FF" w:rsidRPr="00C613D1">
              <w:rPr>
                <w:rFonts w:ascii="Garamond" w:eastAsia="Times New Roman" w:hAnsi="Garamond" w:cs="Arial"/>
                <w:color w:val="000000" w:themeColor="text1"/>
                <w:sz w:val="16"/>
                <w:szCs w:val="16"/>
              </w:rPr>
              <w:t>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Szkoła w Gołkowie:</w:t>
            </w:r>
            <w:r w:rsidRPr="00C613D1">
              <w:rPr>
                <w:rFonts w:ascii="Garamond" w:hAnsi="Garamond" w:cs="Arial"/>
                <w:color w:val="000000" w:themeColor="text1"/>
                <w:sz w:val="16"/>
                <w:szCs w:val="16"/>
              </w:rPr>
              <w:t xml:space="preserve"> Zwiększenie efektywności energetycznej budynku  o minimum 25%; </w:t>
            </w:r>
          </w:p>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t>
            </w:r>
            <w:r w:rsidR="008D3751" w:rsidRPr="00C613D1">
              <w:rPr>
                <w:rFonts w:ascii="Garamond" w:hAnsi="Garamond" w:cs="Arial"/>
                <w:color w:val="000000" w:themeColor="text1"/>
                <w:sz w:val="16"/>
                <w:szCs w:val="16"/>
              </w:rPr>
              <w:t>857 436,90</w:t>
            </w:r>
            <w:r w:rsidRPr="00C613D1">
              <w:rPr>
                <w:rFonts w:ascii="Garamond" w:hAnsi="Garamond" w:cs="Arial"/>
                <w:color w:val="000000" w:themeColor="text1"/>
                <w:sz w:val="16"/>
                <w:szCs w:val="16"/>
              </w:rPr>
              <w:t xml:space="preserve"> kWh/rok; </w:t>
            </w:r>
          </w:p>
          <w:p w:rsidR="008D3751"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budynków -1 szt. ;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Roczny spadek emisji gazów cieplarnianych – </w:t>
            </w:r>
            <w:r w:rsidR="008D3751" w:rsidRPr="00C613D1">
              <w:rPr>
                <w:rFonts w:ascii="Garamond" w:eastAsia="Times New Roman" w:hAnsi="Garamond" w:cs="Arial"/>
                <w:color w:val="000000" w:themeColor="text1"/>
                <w:sz w:val="16"/>
                <w:szCs w:val="16"/>
              </w:rPr>
              <w:t xml:space="preserve">262,02 </w:t>
            </w:r>
            <w:r w:rsidRPr="00C613D1">
              <w:rPr>
                <w:rFonts w:ascii="Garamond" w:eastAsia="Times New Roman" w:hAnsi="Garamond" w:cs="Arial"/>
                <w:color w:val="000000" w:themeColor="text1"/>
                <w:sz w:val="16"/>
                <w:szCs w:val="16"/>
              </w:rPr>
              <w:t>MgCO2</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budynku użyteczności publicznej – ZUK, PSZOK</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 xml:space="preserve">Niska efektywność energetyczna budynków </w:t>
            </w:r>
            <w:r w:rsidRPr="00C613D1">
              <w:rPr>
                <w:rFonts w:ascii="Garamond" w:eastAsia="Times New Roman" w:hAnsi="Garamond" w:cs="Arial"/>
                <w:bCs/>
                <w:color w:val="000000" w:themeColor="text1"/>
                <w:sz w:val="16"/>
                <w:szCs w:val="16"/>
              </w:rPr>
              <w:lastRenderedPageBreak/>
              <w:t>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610590" w:rsidP="00610590">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2018</w:t>
            </w:r>
            <w:r w:rsidR="000326FF" w:rsidRPr="00C613D1">
              <w:rPr>
                <w:rFonts w:ascii="Garamond" w:eastAsia="Times New Roman" w:hAnsi="Garamond" w:cs="Arial"/>
                <w:color w:val="000000" w:themeColor="text1"/>
                <w:sz w:val="16"/>
                <w:szCs w:val="16"/>
              </w:rPr>
              <w:t>-20</w:t>
            </w:r>
            <w:r w:rsidRPr="00C613D1">
              <w:rPr>
                <w:rFonts w:ascii="Garamond" w:eastAsia="Times New Roman" w:hAnsi="Garamond" w:cs="Arial"/>
                <w:color w:val="000000" w:themeColor="text1"/>
                <w:sz w:val="16"/>
                <w:szCs w:val="16"/>
              </w:rPr>
              <w:t>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610590"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700</w:t>
            </w:r>
            <w:r w:rsidR="000326FF" w:rsidRPr="00C613D1">
              <w:rPr>
                <w:rFonts w:ascii="Garamond" w:eastAsia="Times New Roman" w:hAnsi="Garamond" w:cs="Arial"/>
                <w:color w:val="000000" w:themeColor="text1"/>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61059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395 870,00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61059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304 130,00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Zwiększenie efektywności energetycznej budynku  o minimum 30%;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Zmniejszenie rocznego zużycia energii pierwotnej -103 849,1 kWh/rok;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w:t>
            </w:r>
            <w:r w:rsidRPr="00C613D1">
              <w:rPr>
                <w:rFonts w:ascii="Garamond" w:eastAsia="Times New Roman" w:hAnsi="Garamond" w:cs="Arial"/>
                <w:color w:val="000000" w:themeColor="text1"/>
                <w:sz w:val="16"/>
                <w:szCs w:val="16"/>
              </w:rPr>
              <w:lastRenderedPageBreak/>
              <w:t xml:space="preserve">budynków -1 szt. ; </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Roczny spadek emisji gazów cieplarnianych – 127,0MgCO2</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0326FF" w:rsidP="00324C7B">
            <w:pPr>
              <w:spacing w:before="40" w:after="40" w:line="240" w:lineRule="auto"/>
              <w:jc w:val="center"/>
              <w:rPr>
                <w:rFonts w:ascii="Garamond" w:eastAsia="Times New Roman" w:hAnsi="Garamond" w:cs="Arial"/>
                <w:bCs/>
                <w:sz w:val="16"/>
                <w:szCs w:val="16"/>
              </w:rPr>
            </w:pPr>
            <w:r w:rsidRPr="0091486A">
              <w:rPr>
                <w:rFonts w:ascii="Garamond" w:eastAsia="Times New Roman" w:hAnsi="Garamond" w:cs="Arial"/>
                <w:bCs/>
                <w:sz w:val="16"/>
                <w:szCs w:val="16"/>
              </w:rPr>
              <w:lastRenderedPageBreak/>
              <w:t>25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610590">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 xml:space="preserve">Rewitalizacja </w:t>
            </w:r>
            <w:r w:rsidR="00610590" w:rsidRPr="0091486A">
              <w:rPr>
                <w:rFonts w:ascii="Garamond" w:eastAsia="Times New Roman" w:hAnsi="Garamond" w:cs="Arial"/>
                <w:sz w:val="16"/>
                <w:szCs w:val="16"/>
              </w:rPr>
              <w:t>Gminnego Ośrodka Kultury wraz z zagospodarowaniem przestrzeni publicznej rynku w Górznie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hAnsi="Garamond"/>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C839AE"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8806F2" w:rsidP="00324C7B">
            <w:pPr>
              <w:spacing w:before="40" w:after="40" w:line="240" w:lineRule="auto"/>
              <w:jc w:val="right"/>
              <w:rPr>
                <w:rFonts w:ascii="Garamond" w:eastAsia="Times New Roman" w:hAnsi="Garamond" w:cs="Arial"/>
                <w:sz w:val="16"/>
                <w:szCs w:val="16"/>
              </w:rPr>
            </w:pPr>
            <w:r w:rsidRPr="0091486A">
              <w:rPr>
                <w:rFonts w:ascii="Garamond" w:eastAsia="Times New Roman" w:hAnsi="Garamond" w:cs="Arial"/>
                <w:sz w:val="16"/>
                <w:szCs w:val="16"/>
              </w:rPr>
              <w:t>575</w:t>
            </w:r>
            <w:r w:rsidR="000326FF" w:rsidRPr="0091486A">
              <w:rPr>
                <w:rFonts w:ascii="Garamond" w:eastAsia="Times New Roman" w:hAnsi="Garamond" w:cs="Arial"/>
                <w:sz w:val="16"/>
                <w:szCs w:val="16"/>
              </w:rPr>
              <w:t xml:space="preserve">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EFRR</w:t>
            </w:r>
          </w:p>
          <w:p w:rsidR="000326FF" w:rsidRPr="0091486A" w:rsidRDefault="00C839AE" w:rsidP="00324C7B">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488 750,00</w:t>
            </w:r>
          </w:p>
          <w:p w:rsidR="000326FF" w:rsidRPr="0091486A"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Środki własne</w:t>
            </w:r>
          </w:p>
          <w:p w:rsidR="000326FF" w:rsidRPr="0091486A" w:rsidRDefault="00C839AE" w:rsidP="00324C7B">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 xml:space="preserve">56 250,00 + </w:t>
            </w:r>
            <w:proofErr w:type="spellStart"/>
            <w:r w:rsidRPr="0091486A">
              <w:rPr>
                <w:rFonts w:ascii="Garamond" w:eastAsia="Times New Roman" w:hAnsi="Garamond" w:cs="Arial"/>
                <w:sz w:val="16"/>
                <w:szCs w:val="16"/>
              </w:rPr>
              <w:t>WFOŚiGW</w:t>
            </w:r>
            <w:proofErr w:type="spellEnd"/>
            <w:r w:rsidRPr="0091486A">
              <w:rPr>
                <w:rFonts w:ascii="Garamond" w:eastAsia="Times New Roman" w:hAnsi="Garamond" w:cs="Arial"/>
                <w:sz w:val="16"/>
                <w:szCs w:val="16"/>
              </w:rPr>
              <w:t xml:space="preserve"> : 30 000,00 </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810DC" w:rsidRPr="0091486A" w:rsidRDefault="000810DC"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Budynki publiczne lub komercyjne wybudowane lub wyremontowane na obszarach miejskich – 1 szt.</w:t>
            </w:r>
          </w:p>
          <w:p w:rsidR="000810DC" w:rsidRPr="0091486A" w:rsidRDefault="000810DC"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Liczba wspartych obiektów infrastruktury zlokalizowanych na rewitalizowanym obszarze – 1 szt.</w:t>
            </w:r>
          </w:p>
          <w:p w:rsidR="000810DC" w:rsidRPr="0091486A" w:rsidRDefault="000810DC"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Powierzchnia obszarów objętych rewitalizacją (budynku) – 200 m2</w:t>
            </w:r>
          </w:p>
          <w:p w:rsidR="000810DC" w:rsidRPr="0091486A" w:rsidRDefault="000810DC" w:rsidP="000326FF">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Otwarta przestrzeń utworzona lub rekultywowana na obszarach miejskich – 0,8 ha</w:t>
            </w:r>
          </w:p>
          <w:p w:rsidR="000326FF" w:rsidRPr="0091486A" w:rsidRDefault="000810DC" w:rsidP="000810DC">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 xml:space="preserve">Liczba osób korzystających z wybudowanych/wyremontowanych budynków publicznych lub komercyjnych na obszarach miejskich – 1 000 </w:t>
            </w:r>
            <w:proofErr w:type="spellStart"/>
            <w:r w:rsidRPr="0091486A">
              <w:rPr>
                <w:rFonts w:ascii="Garamond" w:hAnsi="Garamond"/>
                <w:sz w:val="16"/>
                <w:szCs w:val="16"/>
              </w:rPr>
              <w:t>osob</w:t>
            </w:r>
            <w:proofErr w:type="spellEnd"/>
            <w:r w:rsidRPr="0091486A">
              <w:rPr>
                <w:rFonts w:ascii="Garamond" w:hAnsi="Garamond"/>
                <w:sz w:val="16"/>
                <w:szCs w:val="16"/>
              </w:rPr>
              <w:t>/rok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810DC" w:rsidRPr="0091486A" w:rsidRDefault="000810DC" w:rsidP="00324C7B">
            <w:pPr>
              <w:spacing w:before="40" w:after="40" w:line="240" w:lineRule="auto"/>
              <w:jc w:val="center"/>
              <w:rPr>
                <w:rFonts w:ascii="Garamond" w:eastAsia="Times New Roman" w:hAnsi="Garamond" w:cs="Arial"/>
                <w:bCs/>
                <w:sz w:val="16"/>
                <w:szCs w:val="16"/>
              </w:rPr>
            </w:pPr>
            <w:r w:rsidRPr="0091486A">
              <w:rPr>
                <w:rFonts w:ascii="Garamond" w:eastAsia="Times New Roman" w:hAnsi="Garamond" w:cs="Arial"/>
                <w:bCs/>
                <w:sz w:val="16"/>
                <w:szCs w:val="16"/>
              </w:rPr>
              <w:t>25a</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610590">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Utworzenie centrum działań kreatywnych na terenie miasta Górzna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Miasto i Gmina Górzno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324C7B">
            <w:pPr>
              <w:spacing w:before="40" w:after="40" w:line="240" w:lineRule="auto"/>
              <w:jc w:val="center"/>
              <w:rPr>
                <w:rFonts w:ascii="Garamond" w:hAnsi="Garamond"/>
                <w:sz w:val="16"/>
                <w:szCs w:val="16"/>
              </w:rPr>
            </w:pPr>
            <w:r w:rsidRPr="0091486A">
              <w:rPr>
                <w:rFonts w:ascii="Garamond" w:hAnsi="Garamond"/>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C839AE"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324C7B">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Miasto i Gmina Górzno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810DC" w:rsidRPr="0091486A" w:rsidRDefault="000810DC" w:rsidP="00324C7B">
            <w:pPr>
              <w:spacing w:before="40" w:after="40" w:line="240" w:lineRule="auto"/>
              <w:jc w:val="right"/>
              <w:rPr>
                <w:rFonts w:ascii="Garamond" w:eastAsia="Times New Roman" w:hAnsi="Garamond" w:cs="Arial"/>
                <w:sz w:val="16"/>
                <w:szCs w:val="16"/>
              </w:rPr>
            </w:pPr>
            <w:r w:rsidRPr="0091486A">
              <w:rPr>
                <w:rFonts w:ascii="Garamond" w:eastAsia="Times New Roman" w:hAnsi="Garamond" w:cs="Arial"/>
                <w:sz w:val="16"/>
                <w:szCs w:val="16"/>
              </w:rPr>
              <w:t>190 000,00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EFRR</w:t>
            </w:r>
          </w:p>
          <w:p w:rsidR="000810DC" w:rsidRPr="0091486A" w:rsidRDefault="000810DC" w:rsidP="000810DC">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161 500,00</w:t>
            </w:r>
          </w:p>
          <w:p w:rsidR="000810DC" w:rsidRPr="0091486A" w:rsidRDefault="000810DC"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Środki własne</w:t>
            </w:r>
          </w:p>
          <w:p w:rsidR="000810DC" w:rsidRPr="0091486A" w:rsidRDefault="000810DC" w:rsidP="000810DC">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28 500</w:t>
            </w:r>
          </w:p>
          <w:p w:rsidR="000810DC" w:rsidRPr="0091486A" w:rsidRDefault="000810DC" w:rsidP="000810DC">
            <w:pPr>
              <w:spacing w:before="40" w:after="40" w:line="240" w:lineRule="auto"/>
              <w:rPr>
                <w:rFonts w:ascii="Garamond" w:eastAsia="Times New Roman" w:hAnsi="Garamond" w:cs="Arial"/>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AD0FD0"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810DC" w:rsidRPr="0091486A" w:rsidRDefault="000810DC" w:rsidP="000810DC">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Budynki publiczne lub komercyjne wybudowane lub wyremontowane na obszarach miejskich – 1 szt.</w:t>
            </w:r>
          </w:p>
          <w:p w:rsidR="000810DC" w:rsidRPr="0091486A" w:rsidRDefault="000810DC" w:rsidP="000810DC">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Liczba wspartych obiektów infrastruktury zlokalizowanych na rewitalizowanym obszarze – 1 szt.</w:t>
            </w:r>
          </w:p>
          <w:p w:rsidR="000810DC" w:rsidRPr="0091486A" w:rsidRDefault="000810DC" w:rsidP="000810DC">
            <w:pPr>
              <w:pStyle w:val="Akapitzlist"/>
              <w:numPr>
                <w:ilvl w:val="0"/>
                <w:numId w:val="112"/>
              </w:numPr>
              <w:spacing w:before="40" w:after="40" w:line="240" w:lineRule="auto"/>
              <w:ind w:left="170" w:hanging="170"/>
              <w:jc w:val="both"/>
              <w:rPr>
                <w:rFonts w:ascii="Garamond" w:eastAsia="Times New Roman" w:hAnsi="Garamond" w:cs="Arial"/>
                <w:sz w:val="16"/>
                <w:szCs w:val="16"/>
              </w:rPr>
            </w:pPr>
            <w:r w:rsidRPr="0091486A">
              <w:rPr>
                <w:rFonts w:ascii="Garamond" w:hAnsi="Garamond"/>
                <w:sz w:val="16"/>
                <w:szCs w:val="16"/>
              </w:rPr>
              <w:t>Powierzchnia obszarów objętych rewitalizacją (budynku) – 150 m2</w:t>
            </w:r>
          </w:p>
          <w:p w:rsidR="000810DC" w:rsidRPr="0091486A" w:rsidRDefault="000810DC" w:rsidP="000326FF">
            <w:pPr>
              <w:pStyle w:val="Akapitzlist"/>
              <w:numPr>
                <w:ilvl w:val="0"/>
                <w:numId w:val="112"/>
              </w:numPr>
              <w:spacing w:before="40" w:after="40" w:line="240" w:lineRule="auto"/>
              <w:ind w:left="170" w:hanging="170"/>
              <w:jc w:val="both"/>
              <w:rPr>
                <w:rFonts w:ascii="Garamond" w:hAnsi="Garamond"/>
                <w:sz w:val="16"/>
                <w:szCs w:val="16"/>
              </w:rPr>
            </w:pPr>
            <w:r w:rsidRPr="0091486A">
              <w:rPr>
                <w:rFonts w:ascii="Garamond" w:hAnsi="Garamond"/>
                <w:sz w:val="16"/>
                <w:szCs w:val="16"/>
              </w:rPr>
              <w:t>Liczba osób korzystających z wybudowanych/wyremontowanych budynków publicznych lub komercyjnych na obszarach miejskich – 400 osób/rok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budynków użyteczności publicznej na terenie Miast i Gminy Jabłonowo Pomorskie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283AB0">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283AB0">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04.2016-11.2017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A3E7F" w:rsidP="00AA3E7F">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988 680,92</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FC13AB" w:rsidRPr="00C613D1" w:rsidRDefault="00FC13AB" w:rsidP="00FC13AB">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FC13AB" w:rsidRPr="00C613D1" w:rsidRDefault="00AA3E7F" w:rsidP="00FC13A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681 007,11</w:t>
            </w:r>
          </w:p>
          <w:p w:rsidR="00FC13AB" w:rsidRPr="00C613D1" w:rsidRDefault="00FC13AB" w:rsidP="00FC13AB">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AA3E7F" w:rsidP="00FC13A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307 673,81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2 szt.</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Zmniejszenie rocznego zużycia energii pierwotnej w</w:t>
            </w:r>
            <w:r w:rsidR="00373B5C" w:rsidRPr="00C613D1">
              <w:rPr>
                <w:rFonts w:ascii="Garamond" w:eastAsia="Times New Roman" w:hAnsi="Garamond" w:cs="Arial"/>
                <w:color w:val="000000" w:themeColor="text1"/>
                <w:sz w:val="16"/>
                <w:szCs w:val="16"/>
              </w:rPr>
              <w:t xml:space="preserve"> budynkach publicznych – 150 081</w:t>
            </w:r>
            <w:r w:rsidRPr="00C613D1">
              <w:rPr>
                <w:rFonts w:ascii="Garamond" w:eastAsia="Times New Roman" w:hAnsi="Garamond" w:cs="Arial"/>
                <w:color w:val="000000" w:themeColor="text1"/>
                <w:sz w:val="16"/>
                <w:szCs w:val="16"/>
              </w:rPr>
              <w:t xml:space="preserve"> kWh/rok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 47,65</w:t>
            </w:r>
            <w:r w:rsidR="00373B5C" w:rsidRPr="00C613D1">
              <w:rPr>
                <w:rFonts w:ascii="Garamond" w:eastAsia="Times New Roman" w:hAnsi="Garamond" w:cs="Arial"/>
                <w:color w:val="000000" w:themeColor="text1"/>
                <w:sz w:val="16"/>
                <w:szCs w:val="16"/>
              </w:rPr>
              <w:t>0</w:t>
            </w:r>
            <w:r w:rsidRPr="00C613D1">
              <w:rPr>
                <w:rFonts w:ascii="Garamond" w:eastAsia="Times New Roman" w:hAnsi="Garamond" w:cs="Arial"/>
                <w:color w:val="000000" w:themeColor="text1"/>
                <w:sz w:val="16"/>
                <w:szCs w:val="16"/>
              </w:rPr>
              <w:t xml:space="preserve"> Mg/rok</w:t>
            </w:r>
          </w:p>
          <w:p w:rsidR="00373B5C" w:rsidRPr="00C613D1" w:rsidRDefault="00373B5C"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energii elektrycznej- 7,610 MWh/rok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Zwiększenie efektywności energetycznej danego budynku </w:t>
            </w:r>
            <w:proofErr w:type="spellStart"/>
            <w:r w:rsidRPr="00C613D1">
              <w:rPr>
                <w:rFonts w:ascii="Garamond" w:eastAsia="Times New Roman" w:hAnsi="Garamond" w:cs="Arial"/>
                <w:color w:val="000000" w:themeColor="text1"/>
                <w:sz w:val="16"/>
                <w:szCs w:val="16"/>
              </w:rPr>
              <w:t>CKiS</w:t>
            </w:r>
            <w:proofErr w:type="spellEnd"/>
            <w:r w:rsidRPr="00C613D1">
              <w:rPr>
                <w:rFonts w:ascii="Garamond" w:eastAsia="Times New Roman" w:hAnsi="Garamond" w:cs="Arial"/>
                <w:color w:val="000000" w:themeColor="text1"/>
                <w:sz w:val="16"/>
                <w:szCs w:val="16"/>
              </w:rPr>
              <w:t xml:space="preserve"> – 41,54  %  oraz Remizy Strażackiej o 61,21%.</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Termomodernizacja budynków użyteczności publicznej  na terenie Miasta i Gminy </w:t>
            </w:r>
            <w:r w:rsidRPr="00C613D1">
              <w:rPr>
                <w:rFonts w:ascii="Garamond" w:eastAsia="Times New Roman" w:hAnsi="Garamond" w:cs="Arial"/>
                <w:color w:val="000000" w:themeColor="text1"/>
                <w:sz w:val="16"/>
                <w:szCs w:val="16"/>
              </w:rPr>
              <w:lastRenderedPageBreak/>
              <w:t>Jabłonowo Pomorskie (świetlice wiejskie)</w:t>
            </w:r>
          </w:p>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-rozbudowa budynków użyteczności publicznej (świetlica wiejska w Nowej Wsi) wraz z jego przebudową i termomodernizacją;</w:t>
            </w:r>
          </w:p>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-zmiana sposobu użytkowania części budynku użyteczności publicznej (świetlica wiejska w Lembargu) na pomieszczenia techniczne (kotłownię) wraz z jego przebudową i termomodernizacją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FC13AB"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10.2016-11.2018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Miasto i Gmina Jabłonowo </w:t>
            </w:r>
            <w:r w:rsidRPr="00C613D1">
              <w:rPr>
                <w:rFonts w:ascii="Garamond" w:eastAsia="Times New Roman" w:hAnsi="Garamond" w:cs="Arial"/>
                <w:color w:val="000000" w:themeColor="text1"/>
                <w:sz w:val="16"/>
                <w:szCs w:val="16"/>
              </w:rPr>
              <w:lastRenderedPageBreak/>
              <w:t>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AD0FD0" w:rsidP="0080658D">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825 343,88</w:t>
            </w:r>
            <w:r w:rsidR="000326FF" w:rsidRPr="00C613D1">
              <w:rPr>
                <w:rFonts w:ascii="Garamond" w:eastAsia="Times New Roman" w:hAnsi="Garamond" w:cs="Arial"/>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401 850,43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Środki </w:t>
            </w:r>
            <w:r w:rsidRPr="00C613D1">
              <w:rPr>
                <w:rFonts w:ascii="Garamond" w:eastAsia="Times New Roman" w:hAnsi="Garamond" w:cs="Arial"/>
                <w:color w:val="000000" w:themeColor="text1"/>
                <w:sz w:val="16"/>
                <w:szCs w:val="16"/>
              </w:rPr>
              <w:lastRenderedPageBreak/>
              <w:t>własne</w:t>
            </w:r>
          </w:p>
          <w:p w:rsidR="000326FF" w:rsidRPr="00C613D1" w:rsidRDefault="00AD0FD0"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423 493,45</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2 szt.</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wybudowanych jednostek </w:t>
            </w:r>
            <w:r w:rsidRPr="00C613D1">
              <w:rPr>
                <w:rFonts w:ascii="Garamond" w:eastAsia="Times New Roman" w:hAnsi="Garamond" w:cs="Arial"/>
                <w:color w:val="000000" w:themeColor="text1"/>
                <w:sz w:val="16"/>
                <w:szCs w:val="16"/>
              </w:rPr>
              <w:lastRenderedPageBreak/>
              <w:t>wytwarzania energii cieplnej z OZE- 2 szt.</w:t>
            </w:r>
          </w:p>
          <w:p w:rsidR="00AD0FD0" w:rsidRPr="00C613D1" w:rsidRDefault="00AD0FD0"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Powierzchnia użytkowa budynków poddanych termomodernizacji – 301,83 m2</w:t>
            </w:r>
          </w:p>
          <w:p w:rsidR="00AD0FD0" w:rsidRPr="00576902" w:rsidRDefault="00AD0FD0"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C613D1">
              <w:rPr>
                <w:rFonts w:ascii="Garamond" w:eastAsia="Times New Roman" w:hAnsi="Garamond" w:cs="Arial"/>
                <w:color w:val="000000" w:themeColor="text1"/>
                <w:sz w:val="16"/>
                <w:szCs w:val="16"/>
              </w:rPr>
              <w:t xml:space="preserve">Produkcja energii cieplnej </w:t>
            </w:r>
            <w:r w:rsidR="007A5CA2" w:rsidRPr="00576902">
              <w:rPr>
                <w:rFonts w:ascii="Garamond" w:eastAsia="Times New Roman" w:hAnsi="Garamond" w:cs="Arial"/>
                <w:sz w:val="16"/>
                <w:szCs w:val="16"/>
              </w:rPr>
              <w:t xml:space="preserve">z nowo wybudowanych instalacji </w:t>
            </w:r>
            <w:r w:rsidRPr="00576902">
              <w:rPr>
                <w:rFonts w:ascii="Garamond" w:eastAsia="Times New Roman" w:hAnsi="Garamond" w:cs="Arial"/>
                <w:sz w:val="16"/>
                <w:szCs w:val="16"/>
              </w:rPr>
              <w:t>wykorzystujących OZE[</w:t>
            </w:r>
            <w:proofErr w:type="spellStart"/>
            <w:r w:rsidRPr="00576902">
              <w:rPr>
                <w:rFonts w:ascii="Garamond" w:eastAsia="Times New Roman" w:hAnsi="Garamond" w:cs="Arial"/>
                <w:sz w:val="16"/>
                <w:szCs w:val="16"/>
              </w:rPr>
              <w:t>MWht</w:t>
            </w:r>
            <w:proofErr w:type="spellEnd"/>
            <w:r w:rsidRPr="00576902">
              <w:rPr>
                <w:rFonts w:ascii="Garamond" w:eastAsia="Times New Roman" w:hAnsi="Garamond" w:cs="Arial"/>
                <w:sz w:val="16"/>
                <w:szCs w:val="16"/>
              </w:rPr>
              <w:t>/rok]- 12,41</w:t>
            </w:r>
          </w:p>
          <w:p w:rsidR="0080658D" w:rsidRPr="00576902"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576902">
              <w:rPr>
                <w:rFonts w:ascii="Garamond" w:eastAsia="Times New Roman" w:hAnsi="Garamond" w:cs="Arial"/>
                <w:sz w:val="16"/>
                <w:szCs w:val="16"/>
              </w:rPr>
              <w:t>Ilość zaoszczędzonej energi</w:t>
            </w:r>
            <w:r w:rsidR="00AD0FD0" w:rsidRPr="00576902">
              <w:rPr>
                <w:rFonts w:ascii="Garamond" w:eastAsia="Times New Roman" w:hAnsi="Garamond" w:cs="Arial"/>
                <w:sz w:val="16"/>
                <w:szCs w:val="16"/>
              </w:rPr>
              <w:t>i elektrycznej (MWh/rok) – 0,71</w:t>
            </w:r>
          </w:p>
          <w:p w:rsidR="00AD0FD0" w:rsidRPr="00576902" w:rsidRDefault="00AD0FD0"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576902">
              <w:rPr>
                <w:rFonts w:ascii="Garamond" w:eastAsia="Times New Roman" w:hAnsi="Garamond" w:cs="Arial"/>
                <w:sz w:val="16"/>
                <w:szCs w:val="16"/>
              </w:rPr>
              <w:t xml:space="preserve">Ilość zaoszczędzonej </w:t>
            </w:r>
            <w:proofErr w:type="spellStart"/>
            <w:r w:rsidRPr="00576902">
              <w:rPr>
                <w:rFonts w:ascii="Garamond" w:eastAsia="Times New Roman" w:hAnsi="Garamond" w:cs="Arial"/>
                <w:sz w:val="16"/>
                <w:szCs w:val="16"/>
              </w:rPr>
              <w:t>enegii</w:t>
            </w:r>
            <w:proofErr w:type="spellEnd"/>
            <w:r w:rsidRPr="00576902">
              <w:rPr>
                <w:rFonts w:ascii="Garamond" w:eastAsia="Times New Roman" w:hAnsi="Garamond" w:cs="Arial"/>
                <w:sz w:val="16"/>
                <w:szCs w:val="16"/>
              </w:rPr>
              <w:t xml:space="preserve"> cieplnej [GJ/rok]-269,35</w:t>
            </w:r>
          </w:p>
          <w:p w:rsidR="0080658D" w:rsidRPr="00576902"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576902">
              <w:rPr>
                <w:rFonts w:ascii="Garamond" w:eastAsia="Times New Roman" w:hAnsi="Garamond" w:cs="Arial"/>
                <w:sz w:val="16"/>
                <w:szCs w:val="16"/>
              </w:rPr>
              <w:t>Zmniejszenie rocznego zużycia energii pierwotnej w budynkach p</w:t>
            </w:r>
            <w:r w:rsidR="00AD0FD0" w:rsidRPr="00576902">
              <w:rPr>
                <w:rFonts w:ascii="Garamond" w:eastAsia="Times New Roman" w:hAnsi="Garamond" w:cs="Arial"/>
                <w:sz w:val="16"/>
                <w:szCs w:val="16"/>
              </w:rPr>
              <w:t>ublicznych (kWh/rok) – 94 415,00</w:t>
            </w:r>
          </w:p>
          <w:p w:rsidR="0080658D" w:rsidRPr="00576902" w:rsidRDefault="0080658D" w:rsidP="000326FF">
            <w:pPr>
              <w:pStyle w:val="Akapitzlist"/>
              <w:numPr>
                <w:ilvl w:val="0"/>
                <w:numId w:val="113"/>
              </w:numPr>
              <w:spacing w:before="40" w:after="40" w:line="240" w:lineRule="auto"/>
              <w:ind w:left="170" w:hanging="170"/>
              <w:jc w:val="both"/>
              <w:rPr>
                <w:rFonts w:ascii="Garamond" w:eastAsia="Times New Roman" w:hAnsi="Garamond" w:cs="Arial"/>
                <w:sz w:val="16"/>
                <w:szCs w:val="16"/>
              </w:rPr>
            </w:pPr>
            <w:r w:rsidRPr="00576902">
              <w:rPr>
                <w:rFonts w:ascii="Garamond" w:eastAsia="Times New Roman" w:hAnsi="Garamond" w:cs="Arial"/>
                <w:sz w:val="16"/>
                <w:szCs w:val="16"/>
              </w:rPr>
              <w:t xml:space="preserve">Szacowany roczny spadek emisji gazów cieplarnianych </w:t>
            </w:r>
            <w:r w:rsidR="007A5CA2" w:rsidRPr="00576902">
              <w:rPr>
                <w:rFonts w:ascii="Garamond" w:eastAsia="Times New Roman" w:hAnsi="Garamond" w:cs="Arial"/>
                <w:sz w:val="16"/>
                <w:szCs w:val="16"/>
              </w:rPr>
              <w:t>(tony równoważnika CO2) – 23.02</w:t>
            </w:r>
          </w:p>
          <w:p w:rsidR="00D16FC6" w:rsidRPr="00C613D1" w:rsidRDefault="00D16FC6" w:rsidP="000326FF">
            <w:pPr>
              <w:pStyle w:val="Akapitzlist"/>
              <w:numPr>
                <w:ilvl w:val="0"/>
                <w:numId w:val="113"/>
              </w:numPr>
              <w:spacing w:before="40" w:after="40" w:line="240" w:lineRule="auto"/>
              <w:ind w:left="170" w:hanging="170"/>
              <w:jc w:val="both"/>
              <w:rPr>
                <w:rFonts w:ascii="Garamond" w:eastAsia="Times New Roman" w:hAnsi="Garamond" w:cs="Arial"/>
                <w:color w:val="000000" w:themeColor="text1"/>
                <w:sz w:val="16"/>
                <w:szCs w:val="16"/>
              </w:rPr>
            </w:pPr>
            <w:r w:rsidRPr="00576902">
              <w:rPr>
                <w:rFonts w:ascii="Garamond" w:eastAsia="Times New Roman" w:hAnsi="Garamond" w:cs="Arial"/>
                <w:sz w:val="16"/>
                <w:szCs w:val="16"/>
              </w:rPr>
              <w:t>Zwiększenie efektywności energetycznej danego budynku - świetlica Lembarg)– 88,27% oraz świetlica Nowa Wieś</w:t>
            </w:r>
            <w:r w:rsidRPr="00C613D1">
              <w:rPr>
                <w:rFonts w:ascii="Garamond" w:eastAsia="Times New Roman" w:hAnsi="Garamond" w:cs="Arial"/>
                <w:color w:val="000000" w:themeColor="text1"/>
                <w:sz w:val="16"/>
                <w:szCs w:val="16"/>
              </w:rPr>
              <w:t>- 72,27%</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0326FF" w:rsidRPr="00C613D1" w:rsidRDefault="000326FF" w:rsidP="00D16FC6">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0326FF" w:rsidP="00324C7B">
            <w:pPr>
              <w:spacing w:before="40" w:after="40" w:line="240" w:lineRule="auto"/>
              <w:jc w:val="center"/>
              <w:rPr>
                <w:rFonts w:ascii="Garamond" w:eastAsia="Times New Roman" w:hAnsi="Garamond" w:cs="Arial"/>
                <w:bCs/>
                <w:sz w:val="16"/>
                <w:szCs w:val="16"/>
              </w:rPr>
            </w:pPr>
            <w:r w:rsidRPr="0091486A">
              <w:rPr>
                <w:rFonts w:ascii="Garamond" w:eastAsia="Times New Roman" w:hAnsi="Garamond" w:cs="Arial"/>
                <w:bCs/>
                <w:sz w:val="16"/>
                <w:szCs w:val="16"/>
              </w:rPr>
              <w:lastRenderedPageBreak/>
              <w:t>29</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9C0B93" w:rsidP="00324C7B">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 xml:space="preserve">Rewitalizacja terenów w </w:t>
            </w:r>
            <w:r w:rsidR="000326FF" w:rsidRPr="0091486A">
              <w:rPr>
                <w:rFonts w:ascii="Garamond" w:eastAsia="Times New Roman" w:hAnsi="Garamond" w:cs="Arial"/>
                <w:sz w:val="16"/>
                <w:szCs w:val="16"/>
              </w:rPr>
              <w:t xml:space="preserve"> Jabłonowie Pomorskim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Miasto i Gmina Jabłonowo Pomorskie</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EB5583">
            <w:pPr>
              <w:pStyle w:val="S1"/>
              <w:numPr>
                <w:ilvl w:val="0"/>
                <w:numId w:val="0"/>
              </w:numPr>
              <w:spacing w:before="40" w:after="40" w:line="240" w:lineRule="auto"/>
              <w:rPr>
                <w:b w:val="0"/>
                <w:color w:val="auto"/>
                <w:sz w:val="16"/>
                <w:szCs w:val="16"/>
              </w:rPr>
            </w:pPr>
            <w:r w:rsidRPr="0091486A">
              <w:rPr>
                <w:b w:val="0"/>
                <w:color w:val="auto"/>
                <w:sz w:val="16"/>
                <w:szCs w:val="16"/>
              </w:rPr>
              <w:t>Niewystarczający stopień innowacyjności i konkurencyjności gospodarki</w:t>
            </w:r>
          </w:p>
          <w:p w:rsidR="000326FF" w:rsidRPr="0091486A" w:rsidRDefault="000326FF" w:rsidP="00EB5583">
            <w:pPr>
              <w:pStyle w:val="S1"/>
              <w:numPr>
                <w:ilvl w:val="0"/>
                <w:numId w:val="0"/>
              </w:numPr>
              <w:spacing w:before="40" w:after="40" w:line="240" w:lineRule="auto"/>
              <w:rPr>
                <w:b w:val="0"/>
                <w:color w:val="auto"/>
                <w:sz w:val="16"/>
                <w:szCs w:val="16"/>
              </w:rPr>
            </w:pPr>
          </w:p>
          <w:p w:rsidR="000326FF" w:rsidRPr="0091486A" w:rsidRDefault="000326FF" w:rsidP="00EB5583">
            <w:pPr>
              <w:pStyle w:val="S1"/>
              <w:numPr>
                <w:ilvl w:val="0"/>
                <w:numId w:val="0"/>
              </w:numPr>
              <w:spacing w:before="40" w:after="40" w:line="240" w:lineRule="auto"/>
              <w:rPr>
                <w:b w:val="0"/>
                <w:color w:val="auto"/>
                <w:sz w:val="16"/>
                <w:szCs w:val="16"/>
              </w:rPr>
            </w:pPr>
            <w:r w:rsidRPr="0091486A">
              <w:rPr>
                <w:b w:val="0"/>
                <w:color w:val="auto"/>
                <w:sz w:val="16"/>
                <w:szCs w:val="16"/>
              </w:rPr>
              <w:t>Niedostatecznie dostosowany do potrzeb system opieki społecznej i zdrowotnej</w:t>
            </w:r>
          </w:p>
          <w:p w:rsidR="000326FF" w:rsidRPr="0091486A" w:rsidRDefault="000326FF" w:rsidP="00EB5583">
            <w:pPr>
              <w:pStyle w:val="S1"/>
              <w:numPr>
                <w:ilvl w:val="0"/>
                <w:numId w:val="0"/>
              </w:numPr>
              <w:spacing w:before="40" w:after="40" w:line="240" w:lineRule="auto"/>
              <w:rPr>
                <w:b w:val="0"/>
                <w:color w:val="auto"/>
                <w:sz w:val="16"/>
                <w:szCs w:val="16"/>
              </w:rPr>
            </w:pPr>
          </w:p>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hAnsi="Garamond"/>
                <w:sz w:val="16"/>
                <w:szCs w:val="16"/>
              </w:rPr>
              <w:t>Niewystarczająca ochrona dziedzictwa kulturowego i promocja walorów przyrodniczych</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EA3D89" w:rsidP="00AD0FD0">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91486A" w:rsidRDefault="000326FF" w:rsidP="00324C7B">
            <w:pPr>
              <w:spacing w:before="40" w:after="40" w:line="240" w:lineRule="auto"/>
              <w:rPr>
                <w:rFonts w:ascii="Garamond" w:eastAsia="Times New Roman" w:hAnsi="Garamond" w:cs="Arial"/>
                <w:sz w:val="16"/>
                <w:szCs w:val="16"/>
              </w:rPr>
            </w:pPr>
            <w:r w:rsidRPr="0091486A">
              <w:rPr>
                <w:rFonts w:ascii="Garamond" w:eastAsia="Times New Roman" w:hAnsi="Garamond" w:cs="Arial"/>
                <w:sz w:val="16"/>
                <w:szCs w:val="16"/>
              </w:rPr>
              <w:t>Miasto i Gmina Jabłonowo Pomorskie</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91486A" w:rsidRDefault="00AD0FD0" w:rsidP="00324C7B">
            <w:pPr>
              <w:spacing w:before="40" w:after="40" w:line="240" w:lineRule="auto"/>
              <w:jc w:val="right"/>
              <w:rPr>
                <w:rFonts w:ascii="Garamond" w:eastAsia="Times New Roman" w:hAnsi="Garamond" w:cs="Arial"/>
                <w:sz w:val="16"/>
                <w:szCs w:val="16"/>
              </w:rPr>
            </w:pPr>
            <w:r w:rsidRPr="0091486A">
              <w:rPr>
                <w:rFonts w:ascii="Garamond" w:eastAsia="Times New Roman" w:hAnsi="Garamond" w:cs="Arial"/>
                <w:sz w:val="16"/>
                <w:szCs w:val="16"/>
              </w:rPr>
              <w:t>1 132 000,00</w:t>
            </w:r>
            <w:r w:rsidR="000326FF" w:rsidRPr="0091486A">
              <w:rPr>
                <w:rFonts w:ascii="Garamond" w:eastAsia="Times New Roman" w:hAnsi="Garamond" w:cs="Arial"/>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EFRR</w:t>
            </w:r>
          </w:p>
          <w:p w:rsidR="000326FF" w:rsidRPr="0091486A" w:rsidRDefault="00AD0FD0" w:rsidP="00324C7B">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962 000,00</w:t>
            </w:r>
          </w:p>
          <w:p w:rsidR="000326FF" w:rsidRPr="0091486A"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1486A">
              <w:rPr>
                <w:rFonts w:ascii="Garamond" w:eastAsia="Times New Roman" w:hAnsi="Garamond" w:cs="Arial"/>
                <w:sz w:val="16"/>
                <w:szCs w:val="16"/>
              </w:rPr>
              <w:t>Środki własne</w:t>
            </w:r>
          </w:p>
          <w:p w:rsidR="000326FF" w:rsidRPr="0091486A" w:rsidRDefault="00EA3D89" w:rsidP="00324C7B">
            <w:pPr>
              <w:pStyle w:val="Akapitzlist"/>
              <w:spacing w:before="40" w:after="40" w:line="240" w:lineRule="auto"/>
              <w:ind w:left="170"/>
              <w:rPr>
                <w:rFonts w:ascii="Garamond" w:eastAsia="Times New Roman" w:hAnsi="Garamond" w:cs="Arial"/>
                <w:sz w:val="16"/>
                <w:szCs w:val="16"/>
              </w:rPr>
            </w:pPr>
            <w:r w:rsidRPr="0091486A">
              <w:rPr>
                <w:rFonts w:ascii="Garamond" w:eastAsia="Times New Roman" w:hAnsi="Garamond" w:cs="Arial"/>
                <w:sz w:val="16"/>
                <w:szCs w:val="16"/>
              </w:rPr>
              <w:t>169 800,00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324C7B">
            <w:pPr>
              <w:spacing w:before="40" w:after="40" w:line="240" w:lineRule="auto"/>
              <w:jc w:val="center"/>
              <w:rPr>
                <w:rFonts w:ascii="Garamond" w:eastAsia="Times New Roman" w:hAnsi="Garamond" w:cs="Arial"/>
                <w:sz w:val="16"/>
                <w:szCs w:val="16"/>
              </w:rPr>
            </w:pPr>
            <w:r w:rsidRPr="0091486A">
              <w:rPr>
                <w:rFonts w:ascii="Garamond" w:eastAsia="Times New Roman" w:hAnsi="Garamond" w:cs="Arial"/>
                <w:sz w:val="16"/>
                <w:szCs w:val="16"/>
              </w:rPr>
              <w:t>9b</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91486A" w:rsidRDefault="000326FF" w:rsidP="000326FF">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91486A">
              <w:rPr>
                <w:rFonts w:ascii="Garamond" w:eastAsia="Times New Roman" w:hAnsi="Garamond" w:cs="Arial"/>
                <w:sz w:val="16"/>
                <w:szCs w:val="16"/>
              </w:rPr>
              <w:t xml:space="preserve">Liczba obiektów infrastruktury </w:t>
            </w:r>
            <w:r w:rsidR="009C0B93" w:rsidRPr="0091486A">
              <w:rPr>
                <w:rFonts w:ascii="Garamond" w:eastAsia="Times New Roman" w:hAnsi="Garamond" w:cs="Arial"/>
                <w:sz w:val="16"/>
                <w:szCs w:val="16"/>
              </w:rPr>
              <w:t xml:space="preserve">zlokalizowanych </w:t>
            </w:r>
            <w:r w:rsidRPr="0091486A">
              <w:rPr>
                <w:rFonts w:ascii="Garamond" w:eastAsia="Times New Roman" w:hAnsi="Garamond" w:cs="Arial"/>
                <w:sz w:val="16"/>
                <w:szCs w:val="16"/>
              </w:rPr>
              <w:t>n</w:t>
            </w:r>
            <w:r w:rsidR="009C0B93" w:rsidRPr="0091486A">
              <w:rPr>
                <w:rFonts w:ascii="Garamond" w:eastAsia="Times New Roman" w:hAnsi="Garamond" w:cs="Arial"/>
                <w:sz w:val="16"/>
                <w:szCs w:val="16"/>
              </w:rPr>
              <w:t xml:space="preserve">a rewitalizowanych obszarach – </w:t>
            </w:r>
            <w:r w:rsidR="00EA3D89" w:rsidRPr="0091486A">
              <w:rPr>
                <w:rFonts w:ascii="Garamond" w:eastAsia="Times New Roman" w:hAnsi="Garamond" w:cs="Arial"/>
                <w:sz w:val="16"/>
                <w:szCs w:val="16"/>
              </w:rPr>
              <w:t>1</w:t>
            </w:r>
            <w:r w:rsidRPr="0091486A">
              <w:rPr>
                <w:rFonts w:ascii="Garamond" w:eastAsia="Times New Roman" w:hAnsi="Garamond" w:cs="Arial"/>
                <w:sz w:val="16"/>
                <w:szCs w:val="16"/>
              </w:rPr>
              <w:t xml:space="preserve"> szt.</w:t>
            </w:r>
          </w:p>
          <w:p w:rsidR="00EA3D89" w:rsidRPr="0091486A" w:rsidRDefault="000326FF"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91486A">
              <w:rPr>
                <w:rFonts w:ascii="Garamond" w:eastAsia="Times New Roman" w:hAnsi="Garamond" w:cs="Arial"/>
                <w:sz w:val="16"/>
                <w:szCs w:val="16"/>
              </w:rPr>
              <w:t xml:space="preserve">Otwarta przestrzeń utworzona lub rekultywowana na obszarach miejskich – </w:t>
            </w:r>
          </w:p>
          <w:p w:rsidR="000326FF" w:rsidRPr="0091486A" w:rsidRDefault="00EA3D89" w:rsidP="00EA3D89">
            <w:pPr>
              <w:pStyle w:val="Akapitzlist"/>
              <w:spacing w:before="40" w:after="40" w:line="240" w:lineRule="auto"/>
              <w:ind w:left="170"/>
              <w:jc w:val="both"/>
              <w:rPr>
                <w:rFonts w:ascii="Garamond" w:eastAsia="Times New Roman" w:hAnsi="Garamond" w:cs="Arial"/>
                <w:sz w:val="16"/>
                <w:szCs w:val="16"/>
              </w:rPr>
            </w:pPr>
            <w:r w:rsidRPr="0091486A">
              <w:rPr>
                <w:rFonts w:ascii="Garamond" w:eastAsia="Times New Roman" w:hAnsi="Garamond" w:cs="Arial"/>
                <w:sz w:val="16"/>
                <w:szCs w:val="16"/>
              </w:rPr>
              <w:t>8 8</w:t>
            </w:r>
            <w:r w:rsidR="000326FF" w:rsidRPr="0091486A">
              <w:rPr>
                <w:rFonts w:ascii="Garamond" w:eastAsia="Times New Roman" w:hAnsi="Garamond" w:cs="Arial"/>
                <w:sz w:val="16"/>
                <w:szCs w:val="16"/>
              </w:rPr>
              <w:t>00 m2</w:t>
            </w:r>
          </w:p>
          <w:p w:rsidR="00EA3D89" w:rsidRPr="0091486A" w:rsidRDefault="00EA3D89" w:rsidP="00EA3D89">
            <w:pPr>
              <w:pStyle w:val="Akapitzlist"/>
              <w:spacing w:before="40" w:after="40" w:line="240" w:lineRule="auto"/>
              <w:ind w:left="170"/>
              <w:jc w:val="both"/>
              <w:rPr>
                <w:rFonts w:ascii="Garamond" w:eastAsia="Times New Roman" w:hAnsi="Garamond" w:cs="Arial"/>
                <w:sz w:val="16"/>
                <w:szCs w:val="16"/>
              </w:rPr>
            </w:pPr>
            <w:r w:rsidRPr="0091486A">
              <w:rPr>
                <w:rFonts w:ascii="Garamond" w:eastAsia="Times New Roman" w:hAnsi="Garamond" w:cs="Arial"/>
                <w:sz w:val="16"/>
                <w:szCs w:val="16"/>
              </w:rPr>
              <w:t>Powierzchnia obszarów objętych rewitalizacją – 8 800 m2</w:t>
            </w:r>
          </w:p>
          <w:p w:rsidR="009C0B93" w:rsidRPr="0091486A" w:rsidRDefault="009C0B93" w:rsidP="009C0B93">
            <w:pPr>
              <w:pStyle w:val="Akapitzlist"/>
              <w:numPr>
                <w:ilvl w:val="0"/>
                <w:numId w:val="60"/>
              </w:numPr>
              <w:spacing w:before="40" w:after="40" w:line="240" w:lineRule="auto"/>
              <w:ind w:left="170" w:hanging="170"/>
              <w:jc w:val="both"/>
              <w:rPr>
                <w:rFonts w:ascii="Garamond" w:eastAsia="Times New Roman" w:hAnsi="Garamond" w:cs="Arial"/>
                <w:sz w:val="16"/>
                <w:szCs w:val="16"/>
              </w:rPr>
            </w:pPr>
            <w:r w:rsidRPr="0091486A">
              <w:rPr>
                <w:rFonts w:ascii="Garamond" w:eastAsia="Times New Roman" w:hAnsi="Garamond" w:cs="Arial"/>
                <w:sz w:val="16"/>
                <w:szCs w:val="16"/>
              </w:rPr>
              <w:t>Liczba osób korzystających z rewitalizowanych obszarów bądź utworzonej przestrzeni w miastach – 8 000 osób/rok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Przebudowa i rozbudowa Szkoły Podstawowej w Świedziebni</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Gmina Świedziebnia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Obniżony stopień upowszechniania edukacji przedszkolnej, niedostosowanie techniczne obiektów przedszkolnych oraz braki w ich wyposażeniu</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IV.kw.2015-III kw.2016r.</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515132"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1 249 266,62</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EFFR</w:t>
            </w:r>
          </w:p>
          <w:p w:rsidR="000326FF" w:rsidRPr="00C613D1" w:rsidRDefault="00515132"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749 940,79</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C53CE2"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227 </w:t>
            </w:r>
            <w:r w:rsidR="00515132" w:rsidRPr="00C613D1">
              <w:rPr>
                <w:rFonts w:ascii="Garamond" w:eastAsia="Times New Roman" w:hAnsi="Garamond" w:cs="Arial"/>
                <w:color w:val="000000" w:themeColor="text1"/>
                <w:sz w:val="16"/>
                <w:szCs w:val="16"/>
              </w:rPr>
              <w:t>562,85</w:t>
            </w:r>
            <w:r w:rsidR="0075604C" w:rsidRPr="00C613D1">
              <w:rPr>
                <w:rFonts w:ascii="Garamond" w:eastAsia="Times New Roman" w:hAnsi="Garamond" w:cs="Arial"/>
                <w:color w:val="000000" w:themeColor="text1"/>
                <w:sz w:val="16"/>
                <w:szCs w:val="16"/>
              </w:rPr>
              <w:t>+ 271 762,98</w:t>
            </w:r>
            <w:r w:rsidR="00EA3D0A" w:rsidRPr="00C613D1">
              <w:rPr>
                <w:rFonts w:ascii="Garamond" w:eastAsia="Times New Roman" w:hAnsi="Garamond" w:cs="Arial"/>
                <w:color w:val="000000" w:themeColor="text1"/>
                <w:sz w:val="16"/>
                <w:szCs w:val="16"/>
              </w:rPr>
              <w:t>= 499 325,83</w:t>
            </w:r>
            <w:r w:rsidR="00515132" w:rsidRPr="00C613D1">
              <w:rPr>
                <w:rFonts w:ascii="Garamond" w:eastAsia="Times New Roman" w:hAnsi="Garamond" w:cs="Arial"/>
                <w:color w:val="000000" w:themeColor="text1"/>
                <w:sz w:val="16"/>
                <w:szCs w:val="16"/>
              </w:rPr>
              <w:t xml:space="preserve"> </w:t>
            </w:r>
          </w:p>
          <w:p w:rsidR="000326FF" w:rsidRPr="00C613D1" w:rsidRDefault="000326FF" w:rsidP="00324C7B">
            <w:pPr>
              <w:pStyle w:val="Akapitzlist"/>
              <w:spacing w:before="40" w:after="40" w:line="240" w:lineRule="auto"/>
              <w:ind w:left="170"/>
              <w:rPr>
                <w:rFonts w:ascii="Garamond" w:eastAsia="Times New Roman" w:hAnsi="Garamond" w:cs="Arial"/>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 inf</w:t>
            </w:r>
            <w:r w:rsidR="00EC41B0" w:rsidRPr="00C613D1">
              <w:rPr>
                <w:rFonts w:ascii="Garamond" w:eastAsia="Times New Roman" w:hAnsi="Garamond" w:cs="Arial"/>
                <w:color w:val="000000" w:themeColor="text1"/>
                <w:sz w:val="16"/>
                <w:szCs w:val="16"/>
              </w:rPr>
              <w:t>rastrukturze przedszkolnej – 25</w:t>
            </w:r>
            <w:r w:rsidRPr="00C613D1">
              <w:rPr>
                <w:rFonts w:ascii="Garamond" w:eastAsia="Times New Roman" w:hAnsi="Garamond" w:cs="Arial"/>
                <w:color w:val="000000" w:themeColor="text1"/>
                <w:sz w:val="16"/>
                <w:szCs w:val="16"/>
              </w:rPr>
              <w:t xml:space="preserve"> osób </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Potencjał objętej wsparciem infrastruktury w zakresie opieki nad dziećmi lub infrastruktury edukacyjnej – 75 osób</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w:t>
            </w:r>
            <w:r w:rsidR="00C2710B" w:rsidRPr="00C613D1">
              <w:rPr>
                <w:rFonts w:ascii="Garamond" w:eastAsia="Times New Roman" w:hAnsi="Garamond" w:cs="Arial"/>
                <w:color w:val="000000" w:themeColor="text1"/>
                <w:sz w:val="16"/>
                <w:szCs w:val="16"/>
              </w:rPr>
              <w:t xml:space="preserve">wspartych </w:t>
            </w:r>
            <w:r w:rsidRPr="00C613D1">
              <w:rPr>
                <w:rFonts w:ascii="Garamond" w:eastAsia="Times New Roman" w:hAnsi="Garamond" w:cs="Arial"/>
                <w:color w:val="000000" w:themeColor="text1"/>
                <w:sz w:val="16"/>
                <w:szCs w:val="16"/>
              </w:rPr>
              <w:t xml:space="preserve">obiektów infrastruktury jednostek organizacyjnych systemu oświaty </w:t>
            </w:r>
            <w:r w:rsidR="00C2710B" w:rsidRPr="00C613D1">
              <w:rPr>
                <w:rFonts w:ascii="Garamond" w:eastAsia="Times New Roman" w:hAnsi="Garamond" w:cs="Arial"/>
                <w:color w:val="000000" w:themeColor="text1"/>
                <w:sz w:val="16"/>
                <w:szCs w:val="16"/>
              </w:rPr>
              <w:t>(placówki)</w:t>
            </w:r>
            <w:r w:rsidRPr="00C613D1">
              <w:rPr>
                <w:rFonts w:ascii="Garamond" w:eastAsia="Times New Roman" w:hAnsi="Garamond" w:cs="Arial"/>
                <w:color w:val="000000" w:themeColor="text1"/>
                <w:sz w:val="16"/>
                <w:szCs w:val="16"/>
              </w:rPr>
              <w:t>– 1 szt.</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wspartych obiektów infrastruktury przedszkolnej (obiekty)-1</w:t>
            </w:r>
          </w:p>
          <w:p w:rsidR="00C2710B" w:rsidRPr="00C613D1" w:rsidRDefault="00C2710B"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korzystających z objętej wsparciem infrastruktury przedszkolnej – </w:t>
            </w:r>
            <w:r w:rsidRPr="00C613D1">
              <w:rPr>
                <w:rFonts w:ascii="Garamond" w:eastAsia="Times New Roman" w:hAnsi="Garamond" w:cs="Arial"/>
                <w:color w:val="000000" w:themeColor="text1"/>
                <w:sz w:val="16"/>
                <w:szCs w:val="16"/>
              </w:rPr>
              <w:lastRenderedPageBreak/>
              <w:t>75 osób.</w:t>
            </w:r>
          </w:p>
          <w:p w:rsidR="000326FF" w:rsidRPr="00C613D1" w:rsidRDefault="000326FF" w:rsidP="00C2710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33</w:t>
            </w:r>
            <w:r w:rsidR="00881C78" w:rsidRPr="00C613D1">
              <w:rPr>
                <w:rFonts w:ascii="Garamond" w:eastAsia="Times New Roman" w:hAnsi="Garamond" w:cs="Arial"/>
                <w:bCs/>
                <w:color w:val="000000" w:themeColor="text1"/>
                <w:sz w:val="16"/>
                <w:szCs w:val="16"/>
              </w:rPr>
              <w:t xml:space="preserve"> i 34</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Termomodernizacja budynku Szkoły Filialnej w Zasadach, wymiana instalacji centralnego ogrzewania z piecem </w:t>
            </w:r>
          </w:p>
          <w:p w:rsidR="00881C78" w:rsidRPr="00C613D1" w:rsidRDefault="00881C78"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Termomodernizacja budynku szkoły Filialnej w Michałkach, wymiana instalacji centralnego ogrzewania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Gmina Świedziebnia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Calibri" w:hAnsi="Garamond" w:cs="Times New Roman"/>
                <w:color w:val="000000" w:themeColor="text1"/>
                <w:sz w:val="16"/>
                <w:szCs w:val="16"/>
              </w:rPr>
              <w:t>Gmina Świedziebnia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881C78" w:rsidP="00324C7B">
            <w:pPr>
              <w:spacing w:after="0" w:line="240" w:lineRule="auto"/>
              <w:jc w:val="right"/>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1 420 958,56</w:t>
            </w:r>
            <w:r w:rsidR="000326FF" w:rsidRPr="00C613D1">
              <w:rPr>
                <w:rFonts w:ascii="Garamond" w:eastAsia="Calibri" w:hAnsi="Garamond" w:cs="Times New Roman"/>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881C78"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937 229,03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AB609F"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bCs/>
                <w:color w:val="000000" w:themeColor="text1"/>
                <w:sz w:val="16"/>
                <w:szCs w:val="16"/>
              </w:rPr>
              <w:t>165 393,36</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after="0" w:line="240" w:lineRule="auto"/>
              <w:jc w:val="center"/>
              <w:rPr>
                <w:rFonts w:ascii="Garamond" w:eastAsia="Calibri" w:hAnsi="Garamond" w:cs="Times New Roman"/>
                <w:color w:val="000000" w:themeColor="text1"/>
                <w:sz w:val="16"/>
                <w:szCs w:val="16"/>
              </w:rPr>
            </w:pPr>
            <w:r w:rsidRPr="00C613D1">
              <w:rPr>
                <w:rFonts w:ascii="Garamond" w:eastAsia="Calibri" w:hAnsi="Garamond" w:cs="Times New Roman"/>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Szacuje się, że emisja CO2 do atmosfery spadnie o  ok. 70%</w:t>
            </w:r>
          </w:p>
          <w:p w:rsidR="000326FF" w:rsidRPr="00C613D1" w:rsidRDefault="00881C78"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Ilość </w:t>
            </w:r>
            <w:r w:rsidR="000326FF" w:rsidRPr="00C613D1">
              <w:rPr>
                <w:rFonts w:ascii="Garamond" w:hAnsi="Garamond" w:cs="Arial"/>
                <w:color w:val="000000" w:themeColor="text1"/>
                <w:sz w:val="16"/>
                <w:szCs w:val="16"/>
              </w:rPr>
              <w:t xml:space="preserve"> </w:t>
            </w:r>
            <w:r w:rsidRPr="00C613D1">
              <w:rPr>
                <w:rFonts w:ascii="Garamond" w:hAnsi="Garamond" w:cs="Arial"/>
                <w:color w:val="000000" w:themeColor="text1"/>
                <w:sz w:val="16"/>
                <w:szCs w:val="16"/>
              </w:rPr>
              <w:t xml:space="preserve">zaoszczędzonej </w:t>
            </w:r>
            <w:r w:rsidR="000326FF" w:rsidRPr="00C613D1">
              <w:rPr>
                <w:rFonts w:ascii="Garamond" w:hAnsi="Garamond" w:cs="Arial"/>
                <w:color w:val="000000" w:themeColor="text1"/>
                <w:sz w:val="16"/>
                <w:szCs w:val="16"/>
              </w:rPr>
              <w:t xml:space="preserve"> energii</w:t>
            </w:r>
            <w:r w:rsidRPr="00C613D1">
              <w:rPr>
                <w:rFonts w:ascii="Garamond" w:hAnsi="Garamond" w:cs="Arial"/>
                <w:color w:val="000000" w:themeColor="text1"/>
                <w:sz w:val="16"/>
                <w:szCs w:val="16"/>
              </w:rPr>
              <w:t xml:space="preserve"> elektrycznej 16.254 MWh/rok</w:t>
            </w:r>
          </w:p>
          <w:p w:rsidR="000326FF" w:rsidRPr="00C613D1" w:rsidRDefault="000326FF"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w:t>
            </w:r>
            <w:r w:rsidR="00881C78" w:rsidRPr="00C613D1">
              <w:rPr>
                <w:rFonts w:ascii="Garamond" w:eastAsia="Times New Roman" w:hAnsi="Garamond" w:cs="Arial"/>
                <w:color w:val="000000" w:themeColor="text1"/>
                <w:sz w:val="16"/>
                <w:szCs w:val="16"/>
              </w:rPr>
              <w:t>anych energetycznie budynków – 2</w:t>
            </w:r>
            <w:r w:rsidRPr="00C613D1">
              <w:rPr>
                <w:rFonts w:ascii="Garamond" w:eastAsia="Times New Roman" w:hAnsi="Garamond" w:cs="Arial"/>
                <w:color w:val="000000" w:themeColor="text1"/>
                <w:sz w:val="16"/>
                <w:szCs w:val="16"/>
              </w:rPr>
              <w:t xml:space="preserve"> szt. </w:t>
            </w:r>
          </w:p>
          <w:p w:rsidR="00881C78" w:rsidRPr="00C613D1" w:rsidRDefault="00881C78"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Zmniejszenie rocznego zużycia </w:t>
            </w:r>
            <w:r w:rsidR="00B7399A" w:rsidRPr="00C613D1">
              <w:rPr>
                <w:rFonts w:ascii="Garamond" w:eastAsia="Times New Roman" w:hAnsi="Garamond" w:cs="Arial"/>
                <w:color w:val="000000" w:themeColor="text1"/>
                <w:sz w:val="16"/>
                <w:szCs w:val="16"/>
              </w:rPr>
              <w:t>energii pierwotnej w budynkach publicznych (kWh/rok)- 841717.200</w:t>
            </w:r>
          </w:p>
          <w:p w:rsidR="00B7399A" w:rsidRPr="00C613D1" w:rsidRDefault="00B7399A" w:rsidP="000326FF">
            <w:pPr>
              <w:pStyle w:val="Akapitzlist"/>
              <w:numPr>
                <w:ilvl w:val="0"/>
                <w:numId w:val="76"/>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(tony równoważnika CO2- 126.170</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Termomodernizacja budynku Urzędu Gminy Zbiczno</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80658D">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60</w:t>
            </w:r>
            <w:r w:rsidR="0080658D" w:rsidRPr="00C613D1">
              <w:rPr>
                <w:rFonts w:ascii="Garamond" w:hAnsi="Garamond"/>
                <w:color w:val="000000" w:themeColor="text1"/>
                <w:sz w:val="16"/>
                <w:szCs w:val="16"/>
              </w:rPr>
              <w:t>2 546,84</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500A77"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435 532,12</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500A77"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167 014,72</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0658D" w:rsidRPr="00C613D1" w:rsidRDefault="0080658D"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Szacowane zmniejszenie rocznego zużycia energii cieplnej -</w:t>
            </w:r>
            <w:r w:rsidRPr="00C613D1">
              <w:rPr>
                <w:rFonts w:ascii="Garamond" w:eastAsia="Times New Roman" w:hAnsi="Garamond" w:cs="Arial"/>
                <w:color w:val="000000" w:themeColor="text1"/>
                <w:sz w:val="16"/>
                <w:szCs w:val="16"/>
              </w:rPr>
              <w:t>73 941,67Wh/rok</w:t>
            </w:r>
          </w:p>
          <w:p w:rsidR="000326FF" w:rsidRPr="00C613D1" w:rsidRDefault="0080658D"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CO – 23,42</w:t>
            </w:r>
            <w:r w:rsidR="000326FF" w:rsidRPr="00C613D1">
              <w:rPr>
                <w:rFonts w:ascii="Garamond" w:hAnsi="Garamond" w:cs="Arial"/>
                <w:color w:val="000000" w:themeColor="text1"/>
                <w:sz w:val="16"/>
                <w:szCs w:val="16"/>
              </w:rPr>
              <w:t xml:space="preserve"> Mg/rok</w:t>
            </w:r>
          </w:p>
          <w:p w:rsidR="000326FF" w:rsidRPr="00C613D1" w:rsidRDefault="000326FF" w:rsidP="000326FF">
            <w:pPr>
              <w:pStyle w:val="Akapitzlist"/>
              <w:numPr>
                <w:ilvl w:val="0"/>
                <w:numId w:val="11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zmodernizowanych energetycznie budynków – 1 szt. </w:t>
            </w:r>
          </w:p>
          <w:p w:rsidR="000326FF" w:rsidRPr="00C613D1" w:rsidRDefault="000326FF" w:rsidP="00324C7B">
            <w:pPr>
              <w:pStyle w:val="NormalnyWeb"/>
              <w:spacing w:after="0" w:afterAutospacing="0" w:line="102" w:lineRule="atLeast"/>
              <w:ind w:left="360"/>
              <w:jc w:val="both"/>
              <w:rPr>
                <w:rFonts w:ascii="Garamond" w:hAnsi="Garamond"/>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pStyle w:val="Zawartotabeli"/>
              <w:snapToGrid w:val="0"/>
              <w:rPr>
                <w:rFonts w:ascii="Garamond" w:hAnsi="Garamond" w:cs="Times New Roman"/>
                <w:b/>
                <w:bCs/>
                <w:color w:val="000000" w:themeColor="text1"/>
                <w:sz w:val="16"/>
                <w:szCs w:val="16"/>
              </w:rPr>
            </w:pPr>
            <w:r w:rsidRPr="00C613D1">
              <w:rPr>
                <w:rStyle w:val="Pogrubienie"/>
                <w:b w:val="0"/>
                <w:color w:val="000000" w:themeColor="text1"/>
                <w:sz w:val="16"/>
                <w:szCs w:val="16"/>
              </w:rPr>
              <w:t xml:space="preserve">Kompleksowa modernizacja energetyczna świetlicy </w:t>
            </w:r>
            <w:proofErr w:type="spellStart"/>
            <w:r w:rsidRPr="00C613D1">
              <w:rPr>
                <w:rStyle w:val="Pogrubienie"/>
                <w:b w:val="0"/>
                <w:color w:val="000000" w:themeColor="text1"/>
                <w:sz w:val="16"/>
                <w:szCs w:val="16"/>
              </w:rPr>
              <w:t>GOKSiR</w:t>
            </w:r>
            <w:proofErr w:type="spellEnd"/>
            <w:r w:rsidRPr="00C613D1">
              <w:rPr>
                <w:rStyle w:val="Pogrubienie"/>
                <w:b w:val="0"/>
                <w:color w:val="000000" w:themeColor="text1"/>
                <w:sz w:val="16"/>
                <w:szCs w:val="16"/>
              </w:rPr>
              <w:t xml:space="preserve"> w Pokrzydowie</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Gmina Zbiczno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hAnsi="Garamond"/>
                <w:color w:val="000000" w:themeColor="text1"/>
                <w:sz w:val="16"/>
                <w:szCs w:val="16"/>
              </w:rPr>
              <w:t>Gmina Zbiczno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500A77"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690 516,27</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312F5E"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p w:rsidR="000326FF" w:rsidRPr="00C613D1" w:rsidRDefault="00312F5E" w:rsidP="00324C7B">
            <w:pPr>
              <w:pStyle w:val="Akapitzlist"/>
              <w:spacing w:before="40" w:after="40" w:line="240" w:lineRule="auto"/>
              <w:ind w:left="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240 516,27</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NormalnyWeb"/>
              <w:numPr>
                <w:ilvl w:val="0"/>
                <w:numId w:val="111"/>
              </w:numPr>
              <w:spacing w:after="0" w:afterAutospacing="0" w:line="102"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1 szt.</w:t>
            </w:r>
          </w:p>
          <w:p w:rsidR="000326FF" w:rsidRPr="00C613D1" w:rsidRDefault="000326FF" w:rsidP="000326FF">
            <w:pPr>
              <w:pStyle w:val="Akapitzlist"/>
              <w:numPr>
                <w:ilvl w:val="0"/>
                <w:numId w:val="111"/>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Szacowane zmniejszenie rocznego zużycia energii cieplnej40 201,39  kWh/rok </w:t>
            </w:r>
          </w:p>
          <w:p w:rsidR="000326FF" w:rsidRPr="00C613D1" w:rsidRDefault="000326FF" w:rsidP="000326FF">
            <w:pPr>
              <w:pStyle w:val="Akapitzlist"/>
              <w:numPr>
                <w:ilvl w:val="0"/>
                <w:numId w:val="111"/>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Szacowany roczny spadek emis</w:t>
            </w:r>
            <w:r w:rsidR="00350FA8" w:rsidRPr="00C613D1">
              <w:rPr>
                <w:rFonts w:ascii="Garamond" w:hAnsi="Garamond" w:cs="Arial"/>
                <w:color w:val="000000" w:themeColor="text1"/>
                <w:sz w:val="16"/>
                <w:szCs w:val="16"/>
              </w:rPr>
              <w:t>ji gazów cieplarnianych- 53,17</w:t>
            </w:r>
            <w:r w:rsidRPr="00C613D1">
              <w:rPr>
                <w:rFonts w:ascii="Garamond" w:hAnsi="Garamond" w:cs="Arial"/>
                <w:color w:val="000000" w:themeColor="text1"/>
                <w:sz w:val="16"/>
                <w:szCs w:val="16"/>
              </w:rPr>
              <w:t xml:space="preserve"> Mg/rok</w:t>
            </w:r>
          </w:p>
          <w:p w:rsidR="000326FF" w:rsidRPr="00C613D1" w:rsidRDefault="000326FF" w:rsidP="00324C7B">
            <w:pPr>
              <w:pStyle w:val="NormalnyWeb"/>
              <w:spacing w:after="0" w:afterAutospacing="0" w:line="102" w:lineRule="atLeast"/>
              <w:ind w:left="360"/>
              <w:jc w:val="both"/>
              <w:rPr>
                <w:rFonts w:ascii="Garamond" w:hAnsi="Garamond"/>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40</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Zmniejszenie emisji strat ciepła przez kompleksową termomodernizację budynku internatu </w:t>
            </w:r>
            <w:r w:rsidR="00754042" w:rsidRPr="00C613D1">
              <w:rPr>
                <w:rFonts w:ascii="Garamond" w:eastAsia="Times New Roman" w:hAnsi="Garamond" w:cs="Arial"/>
                <w:bCs/>
                <w:color w:val="000000" w:themeColor="text1"/>
                <w:sz w:val="16"/>
                <w:szCs w:val="16"/>
              </w:rPr>
              <w:t xml:space="preserve">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Centrum Kształcenia Zawodowego i Ustawicznego w Brodnicy</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2017-2020</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1 320 000,00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1 062 500,00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257 500,00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97"/>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Zmniejszenie rocznego zużycia energii pierwotnej w budynkach publicznych – 169 466,07 kWh/rok </w:t>
            </w:r>
          </w:p>
          <w:p w:rsidR="000326FF" w:rsidRPr="00C613D1" w:rsidRDefault="000326FF" w:rsidP="000326FF">
            <w:pPr>
              <w:pStyle w:val="Akapitzlist"/>
              <w:numPr>
                <w:ilvl w:val="0"/>
                <w:numId w:val="97"/>
              </w:numPr>
              <w:spacing w:after="0"/>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szt. 1</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 xml:space="preserve">Szacowany roczny spadek emisji gazów cieplarnianych  -44,74 Mg  CO2/rok </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Ilość zaoszczędzonej energii elektrycznej w wyniku realizacji projektu termomodernizacji w powiecie – 0,00633 MWh/rok</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 xml:space="preserve">Zwiększenie efektywności energetycznej – </w:t>
            </w:r>
            <w:r w:rsidRPr="00C613D1">
              <w:rPr>
                <w:rFonts w:ascii="Garamond" w:hAnsi="Garamond" w:cs="Arial"/>
                <w:color w:val="000000" w:themeColor="text1"/>
                <w:sz w:val="16"/>
                <w:szCs w:val="16"/>
              </w:rPr>
              <w:lastRenderedPageBreak/>
              <w:t>33,20%</w:t>
            </w:r>
          </w:p>
          <w:p w:rsidR="000326FF" w:rsidRPr="00C613D1" w:rsidRDefault="000326FF" w:rsidP="000326FF">
            <w:pPr>
              <w:pStyle w:val="Akapitzlist"/>
              <w:numPr>
                <w:ilvl w:val="0"/>
                <w:numId w:val="97"/>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Zmniejszenie emisji pyłu PM 10 o 33,20%</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41</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Termomodernizacja budynku Zespołu Szkół Specjalnych w Brodnicy ul. Kochanowskiego 2</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F83949"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2016-2017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7C59A0"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880 754,45</w:t>
            </w:r>
            <w:r w:rsidR="000326FF" w:rsidRPr="00C613D1">
              <w:rPr>
                <w:rFonts w:ascii="Garamond" w:eastAsia="Times New Roman" w:hAnsi="Garamond" w:cs="Arial"/>
                <w:bCs/>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7C59A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582</w:t>
            </w:r>
            <w:r w:rsidR="009B0428" w:rsidRPr="00C613D1">
              <w:rPr>
                <w:rFonts w:ascii="Garamond" w:eastAsia="Times New Roman" w:hAnsi="Garamond" w:cs="Arial"/>
                <w:bCs/>
                <w:color w:val="000000" w:themeColor="text1"/>
                <w:sz w:val="16"/>
                <w:szCs w:val="16"/>
              </w:rPr>
              <w:t xml:space="preserve"> </w:t>
            </w:r>
            <w:r w:rsidRPr="00C613D1">
              <w:rPr>
                <w:rFonts w:ascii="Garamond" w:eastAsia="Times New Roman" w:hAnsi="Garamond" w:cs="Arial"/>
                <w:bCs/>
                <w:color w:val="000000" w:themeColor="text1"/>
                <w:sz w:val="16"/>
                <w:szCs w:val="16"/>
              </w:rPr>
              <w:t>219,44</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F2429B" w:rsidP="00324C7B">
            <w:pPr>
              <w:pStyle w:val="Akapitzlist"/>
              <w:spacing w:before="40" w:after="40" w:line="240" w:lineRule="auto"/>
              <w:ind w:left="170"/>
              <w:rPr>
                <w:rFonts w:ascii="Garamond" w:eastAsia="Times New Roman" w:hAnsi="Garamond" w:cs="Arial"/>
                <w:bCs/>
                <w:color w:val="000000" w:themeColor="text1"/>
                <w:sz w:val="16"/>
                <w:szCs w:val="16"/>
              </w:rPr>
            </w:pPr>
            <w:r>
              <w:rPr>
                <w:rFonts w:ascii="Garamond" w:eastAsia="Times New Roman" w:hAnsi="Garamond" w:cs="Arial"/>
                <w:bCs/>
                <w:color w:val="000000" w:themeColor="text1"/>
                <w:sz w:val="16"/>
                <w:szCs w:val="16"/>
              </w:rPr>
              <w:t>298 56</w:t>
            </w:r>
            <w:r w:rsidR="007C59A0" w:rsidRPr="00C613D1">
              <w:rPr>
                <w:rFonts w:ascii="Garamond" w:eastAsia="Times New Roman" w:hAnsi="Garamond" w:cs="Arial"/>
                <w:bCs/>
                <w:color w:val="000000" w:themeColor="text1"/>
                <w:sz w:val="16"/>
                <w:szCs w:val="16"/>
              </w:rPr>
              <w:t>5,01</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1 sztuka</w:t>
            </w:r>
          </w:p>
          <w:p w:rsidR="000326FF" w:rsidRPr="00C613D1" w:rsidRDefault="000326FF" w:rsidP="000326FF">
            <w:pPr>
              <w:pStyle w:val="Akapitzlist"/>
              <w:numPr>
                <w:ilvl w:val="0"/>
                <w:numId w:val="88"/>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Zmniejszenie rocznego zużycia energii pierwotnej w budynkach publicznych – 258 618,170kWh/rok </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elektrycznej  w wyniku -15,378 MWh/rok</w:t>
            </w:r>
          </w:p>
          <w:p w:rsidR="000326FF" w:rsidRPr="00C613D1" w:rsidRDefault="000326FF" w:rsidP="000326FF">
            <w:pPr>
              <w:pStyle w:val="Akapitzlist"/>
              <w:numPr>
                <w:ilvl w:val="0"/>
                <w:numId w:val="8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Szacowany roczny spadek emisji  gazów cieplarnianych- 68, 375 MgCO2/rok </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Zwiększenie efektywności energetycznej- 45,25%</w:t>
            </w:r>
          </w:p>
          <w:p w:rsidR="000326FF" w:rsidRPr="00C613D1" w:rsidRDefault="000326FF" w:rsidP="000326FF">
            <w:pPr>
              <w:pStyle w:val="Akapitzlist"/>
              <w:numPr>
                <w:ilvl w:val="0"/>
                <w:numId w:val="88"/>
              </w:numPr>
              <w:spacing w:before="40" w:after="40" w:line="240" w:lineRule="auto"/>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Zmniejszenie emisji pyłu PM 10 o 44,85%</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44381F" w:rsidP="0044381F">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Budowa i wyposażenie nowych oraz rozbudowa i doposażenie istniejących pracowni kształcenia za</w:t>
            </w:r>
            <w:r w:rsidR="00AE7C08" w:rsidRPr="00C613D1">
              <w:rPr>
                <w:rFonts w:ascii="Garamond" w:eastAsia="Times New Roman" w:hAnsi="Garamond" w:cs="Arial"/>
                <w:bCs/>
                <w:color w:val="000000" w:themeColor="text1"/>
                <w:sz w:val="16"/>
                <w:szCs w:val="16"/>
              </w:rPr>
              <w:t>wodowego w Centrum Kształcenia Z</w:t>
            </w:r>
            <w:r w:rsidRPr="00C613D1">
              <w:rPr>
                <w:rFonts w:ascii="Garamond" w:eastAsia="Times New Roman" w:hAnsi="Garamond" w:cs="Arial"/>
                <w:bCs/>
                <w:color w:val="000000" w:themeColor="text1"/>
                <w:sz w:val="16"/>
                <w:szCs w:val="16"/>
              </w:rPr>
              <w:t>awodowego i Ustawicznego w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BD2E3E" w:rsidP="00BD2E3E">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EB5583">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EB5583">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Niedostateczne wyposażenie placówek kształcenia zawodowego w sprzęt dydaktyczny</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910C6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2018-2019</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Powiat brodnicki</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0326FF" w:rsidRPr="00C613D1" w:rsidRDefault="00BD2E3E"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2 500 000</w:t>
            </w:r>
            <w:r w:rsidR="0044381F" w:rsidRPr="00C613D1">
              <w:rPr>
                <w:rFonts w:ascii="Garamond" w:eastAsia="Times New Roman" w:hAnsi="Garamond" w:cs="Arial"/>
                <w:bCs/>
                <w:color w:val="000000" w:themeColor="text1"/>
                <w:sz w:val="16"/>
                <w:szCs w:val="16"/>
              </w:rPr>
              <w:t>,00</w:t>
            </w:r>
            <w:r w:rsidR="000326FF" w:rsidRPr="00C613D1">
              <w:rPr>
                <w:rFonts w:ascii="Garamond" w:eastAsia="Times New Roman" w:hAnsi="Garamond" w:cs="Arial"/>
                <w:bCs/>
                <w:color w:val="000000" w:themeColor="text1"/>
                <w:sz w:val="16"/>
                <w:szCs w:val="16"/>
              </w:rPr>
              <w:t xml:space="preserve">  </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BD2E3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1 725 000,00</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D2E3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775 000,00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hideMark/>
          </w:tcPr>
          <w:p w:rsidR="000326FF" w:rsidRPr="00C613D1" w:rsidRDefault="0044381F"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Zdawalność egzaminów potwierdzających kwalifikacje </w:t>
            </w:r>
            <w:r w:rsidR="00D42171" w:rsidRPr="00C613D1">
              <w:rPr>
                <w:rFonts w:ascii="Garamond" w:hAnsi="Garamond"/>
                <w:color w:val="000000" w:themeColor="text1"/>
                <w:sz w:val="16"/>
                <w:szCs w:val="16"/>
              </w:rPr>
              <w:t>zawodowe wśród uczniów ZSZ- 95%</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miejsc w objętej wsparciem infrastrukturze w zakresie opieki nad dziećmi lub infrastrukturze edukacyjnej (CI 35), - 200 osób,</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miejsc w infrastrukturze kształcenia zawodowego- 200 </w:t>
            </w:r>
          </w:p>
          <w:p w:rsidR="00D42171" w:rsidRPr="00C613D1" w:rsidRDefault="00D42171" w:rsidP="000326FF">
            <w:pPr>
              <w:pStyle w:val="Akapitzlist"/>
              <w:numPr>
                <w:ilvl w:val="0"/>
                <w:numId w:val="98"/>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obiektów infrastruktury jednostek organizacyjnych systemu oświaty- 2 szt.</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45</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Termomodernizacja budynków użyteczności publicznej na terenie miasta Brodnicy</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Miasta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2015-2018</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Miasta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73B5C">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3 690 590,1</w:t>
            </w:r>
            <w:r w:rsidR="00373B5C" w:rsidRPr="00C613D1">
              <w:rPr>
                <w:rFonts w:ascii="Garamond" w:hAnsi="Garamond"/>
                <w:color w:val="000000" w:themeColor="text1"/>
                <w:sz w:val="16"/>
                <w:szCs w:val="16"/>
              </w:rPr>
              <w:t>5</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AA3E7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2 738 863,41</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515132" w:rsidP="00AA3E7F">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822 904,60</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Ilość zaoszczędzonej energii elektrycznej – 42,75MWh/rok</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Zmniejszenie rocznego zużycia energii pierwotnej w budynkach publicznych – 1740282,00 kWh/rok</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 xml:space="preserve">Szacowany roczny spadek emisji gazów cieplarnianych – ( tony równoważnika CO2) - 559,75 </w:t>
            </w:r>
          </w:p>
          <w:p w:rsidR="00373B5C" w:rsidRPr="00C613D1" w:rsidRDefault="00373B5C"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Liczba zmodernizowanych energetycznie budynków – 4 szt.</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Urząd Miejski w Brodnicy :</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GJ/rok- 840,46</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2 138,55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42,74%</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Szacowany roczny spadek emisji gazów </w:t>
            </w:r>
            <w:r w:rsidRPr="00C613D1">
              <w:rPr>
                <w:rFonts w:ascii="Garamond" w:hAnsi="Garamond" w:cs="Arial"/>
                <w:color w:val="000000" w:themeColor="text1"/>
                <w:sz w:val="16"/>
                <w:szCs w:val="16"/>
              </w:rPr>
              <w:lastRenderedPageBreak/>
              <w:t>cieplarnianych tony równoważnika CO2/rok – 0,186</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233 461,11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Gimnazjum nr 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GJ/rok- 2 088,42</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3591,90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68,61%</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0,022</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580 116,66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Budynek hali sportowej wchodzącej w skład Zespołu Szkolno-Przedszkolnego Nr 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GJ/rok- 1055,04</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924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Zwiększenie efektywności energetycznej – 83,71%</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0,324</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293 066,66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b/>
                <w:color w:val="000000" w:themeColor="text1"/>
                <w:sz w:val="16"/>
                <w:szCs w:val="16"/>
              </w:rPr>
            </w:pPr>
            <w:r w:rsidRPr="00C613D1">
              <w:rPr>
                <w:rFonts w:ascii="Garamond" w:hAnsi="Garamond" w:cs="Arial"/>
                <w:b/>
                <w:color w:val="000000" w:themeColor="text1"/>
                <w:sz w:val="16"/>
                <w:szCs w:val="16"/>
              </w:rPr>
              <w:t>Budynek szkoły podstawowej wchodzącej w skład Zespołu szkolno-przedszkolnego nr 1 :</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Ilość zaoszczędzonej energii cieplnej GJ/rok- 2122,31</w:t>
            </w:r>
          </w:p>
          <w:p w:rsidR="000326FF" w:rsidRPr="00C613D1" w:rsidRDefault="000326FF" w:rsidP="000326FF">
            <w:pPr>
              <w:pStyle w:val="Akapitzlist"/>
              <w:numPr>
                <w:ilvl w:val="0"/>
                <w:numId w:val="110"/>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 xml:space="preserve">Liczba zmodernizowanych energetycznie budynków – 1 szt. </w:t>
            </w:r>
          </w:p>
          <w:p w:rsidR="000326FF" w:rsidRPr="00C613D1" w:rsidRDefault="000326FF" w:rsidP="000326FF">
            <w:pPr>
              <w:pStyle w:val="Akapitzlist"/>
              <w:numPr>
                <w:ilvl w:val="0"/>
                <w:numId w:val="110"/>
              </w:numPr>
              <w:spacing w:before="40" w:after="40"/>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Powierzchnia użytkowa budynków poddana termomodernizacji – 3626,31  m²</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Zwiększenie efektywności energetycznej – 60,15%</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Szacowany roczny spadek emisji gazów cieplarnianych tony równoważnika CO2/rok – 0,4858</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Zmniejszenie rocznego zużycia energii pierwotnej w budynkach publicznych kWh/rok – 589 530,55 kWh/rok</w:t>
            </w:r>
          </w:p>
          <w:p w:rsidR="000326FF" w:rsidRPr="00C613D1" w:rsidRDefault="000326FF" w:rsidP="000326FF">
            <w:pPr>
              <w:pStyle w:val="NormalnyWeb"/>
              <w:numPr>
                <w:ilvl w:val="0"/>
                <w:numId w:val="110"/>
              </w:numPr>
              <w:spacing w:after="0" w:afterAutospacing="0" w:line="102" w:lineRule="atLeast"/>
              <w:ind w:left="170" w:hanging="170"/>
              <w:jc w:val="both"/>
              <w:rPr>
                <w:rFonts w:ascii="Garamond" w:hAnsi="Garamond" w:cs="Arial"/>
                <w:color w:val="000000" w:themeColor="text1"/>
                <w:sz w:val="16"/>
                <w:szCs w:val="16"/>
              </w:rPr>
            </w:pPr>
          </w:p>
        </w:tc>
      </w:tr>
      <w:tr w:rsidR="00C613D1" w:rsidRPr="00C613D1" w:rsidTr="00EA3D0A">
        <w:trPr>
          <w:trHeight w:val="862"/>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576902" w:rsidRDefault="000326FF" w:rsidP="00324C7B">
            <w:pPr>
              <w:spacing w:before="40" w:after="40" w:line="240" w:lineRule="auto"/>
              <w:jc w:val="center"/>
              <w:rPr>
                <w:rFonts w:ascii="Garamond" w:eastAsia="Times New Roman" w:hAnsi="Garamond" w:cs="Arial"/>
                <w:bCs/>
                <w:sz w:val="16"/>
                <w:szCs w:val="16"/>
              </w:rPr>
            </w:pPr>
            <w:r w:rsidRPr="00576902">
              <w:rPr>
                <w:rFonts w:ascii="Garamond" w:eastAsia="Times New Roman" w:hAnsi="Garamond" w:cs="Arial"/>
                <w:bCs/>
                <w:sz w:val="16"/>
                <w:szCs w:val="16"/>
              </w:rPr>
              <w:lastRenderedPageBreak/>
              <w:t>46</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326FF" w:rsidP="00324C7B">
            <w:pPr>
              <w:spacing w:before="40" w:after="40" w:line="240" w:lineRule="auto"/>
              <w:rPr>
                <w:rFonts w:ascii="Garamond" w:hAnsi="Garamond"/>
                <w:bCs/>
                <w:sz w:val="16"/>
                <w:szCs w:val="16"/>
              </w:rPr>
            </w:pPr>
            <w:r w:rsidRPr="00576902">
              <w:rPr>
                <w:rFonts w:ascii="Garamond" w:hAnsi="Garamond"/>
                <w:bCs/>
                <w:sz w:val="16"/>
                <w:szCs w:val="16"/>
              </w:rPr>
              <w:t>Stworzenie nowych miejsc wychowania przedszkolnego poprzez przebudowę i remont części budynku Gimnazjum w Bobrowie wraz z budową placu zabaw</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326FF" w:rsidP="00324C7B">
            <w:pPr>
              <w:spacing w:before="40" w:after="40" w:line="240" w:lineRule="auto"/>
              <w:jc w:val="center"/>
              <w:rPr>
                <w:rFonts w:ascii="Garamond" w:hAnsi="Garamond"/>
                <w:sz w:val="16"/>
                <w:szCs w:val="16"/>
              </w:rPr>
            </w:pPr>
            <w:r w:rsidRPr="00576902">
              <w:rPr>
                <w:rFonts w:ascii="Garamond" w:hAnsi="Garamond"/>
                <w:sz w:val="16"/>
                <w:szCs w:val="16"/>
              </w:rPr>
              <w:t>Gmina Bobrowo</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326FF" w:rsidP="00373B5C">
            <w:pPr>
              <w:pStyle w:val="S1"/>
              <w:numPr>
                <w:ilvl w:val="0"/>
                <w:numId w:val="0"/>
              </w:numPr>
              <w:spacing w:before="40" w:after="40" w:line="240" w:lineRule="auto"/>
              <w:rPr>
                <w:b w:val="0"/>
                <w:color w:val="auto"/>
                <w:sz w:val="16"/>
                <w:szCs w:val="16"/>
              </w:rPr>
            </w:pPr>
            <w:r w:rsidRPr="00576902">
              <w:rPr>
                <w:b w:val="0"/>
                <w:color w:val="auto"/>
                <w:sz w:val="16"/>
                <w:szCs w:val="16"/>
              </w:rPr>
              <w:t>Niepełne dopasowanie oferty edukacyjnej do potrzeb rynku pracy</w:t>
            </w:r>
          </w:p>
          <w:p w:rsidR="000326FF" w:rsidRPr="00576902" w:rsidRDefault="000326FF" w:rsidP="00373B5C">
            <w:pPr>
              <w:pStyle w:val="S1"/>
              <w:numPr>
                <w:ilvl w:val="0"/>
                <w:numId w:val="0"/>
              </w:numPr>
              <w:spacing w:before="40" w:after="40" w:line="240" w:lineRule="auto"/>
              <w:rPr>
                <w:b w:val="0"/>
                <w:color w:val="auto"/>
                <w:sz w:val="16"/>
                <w:szCs w:val="16"/>
              </w:rPr>
            </w:pPr>
          </w:p>
          <w:p w:rsidR="000326FF" w:rsidRPr="00576902" w:rsidRDefault="000326FF" w:rsidP="00373B5C">
            <w:pPr>
              <w:pStyle w:val="S1"/>
              <w:numPr>
                <w:ilvl w:val="0"/>
                <w:numId w:val="0"/>
              </w:numPr>
              <w:spacing w:before="40" w:after="40" w:line="240" w:lineRule="auto"/>
              <w:rPr>
                <w:rFonts w:eastAsia="Times New Roman" w:cs="Arial"/>
                <w:bCs/>
                <w:color w:val="auto"/>
                <w:sz w:val="16"/>
                <w:szCs w:val="16"/>
              </w:rPr>
            </w:pPr>
            <w:r w:rsidRPr="00576902">
              <w:rPr>
                <w:b w:val="0"/>
                <w:color w:val="auto"/>
                <w:sz w:val="16"/>
                <w:szCs w:val="16"/>
              </w:rPr>
              <w:t>Obniżony stopień upowszechniania edukacji przedszkolnej, niedostosowanie techniczne obiektów przedszkolnych oraz braki w ich wyposażeniu</w:t>
            </w:r>
          </w:p>
          <w:p w:rsidR="000326FF" w:rsidRPr="00576902" w:rsidRDefault="000326FF" w:rsidP="00324C7B">
            <w:pPr>
              <w:spacing w:before="40" w:after="40" w:line="240" w:lineRule="auto"/>
              <w:jc w:val="center"/>
              <w:rPr>
                <w:rFonts w:ascii="Garamond" w:eastAsia="Times New Roman" w:hAnsi="Garamond" w:cs="Arial"/>
                <w:bCs/>
                <w:sz w:val="16"/>
                <w:szCs w:val="16"/>
              </w:rPr>
            </w:pP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D7A28"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t>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326FF" w:rsidP="00324C7B">
            <w:pPr>
              <w:spacing w:before="40" w:after="40" w:line="240" w:lineRule="auto"/>
              <w:rPr>
                <w:rFonts w:ascii="Garamond" w:hAnsi="Garamond"/>
                <w:sz w:val="16"/>
                <w:szCs w:val="16"/>
              </w:rPr>
            </w:pPr>
            <w:r w:rsidRPr="00576902">
              <w:rPr>
                <w:rFonts w:ascii="Garamond" w:hAnsi="Garamond"/>
                <w:sz w:val="16"/>
                <w:szCs w:val="16"/>
              </w:rPr>
              <w:t>Gmina Bobrowo</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576902" w:rsidRDefault="00327EC3" w:rsidP="00324C7B">
            <w:pPr>
              <w:spacing w:before="40" w:after="40" w:line="240" w:lineRule="auto"/>
              <w:jc w:val="right"/>
              <w:rPr>
                <w:rFonts w:ascii="Garamond" w:hAnsi="Garamond"/>
                <w:sz w:val="16"/>
                <w:szCs w:val="16"/>
              </w:rPr>
            </w:pPr>
            <w:r w:rsidRPr="00576902">
              <w:rPr>
                <w:rFonts w:ascii="Garamond" w:hAnsi="Garamond"/>
                <w:sz w:val="16"/>
                <w:szCs w:val="16"/>
              </w:rPr>
              <w:t>353 542,00</w:t>
            </w:r>
            <w:r w:rsidR="000326FF" w:rsidRPr="00576902">
              <w:rPr>
                <w:rFonts w:ascii="Garamond" w:hAnsi="Garamond"/>
                <w:sz w:val="16"/>
                <w:szCs w:val="16"/>
              </w:rPr>
              <w:t>,00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576902"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EFRR</w:t>
            </w:r>
          </w:p>
          <w:p w:rsidR="000326FF" w:rsidRPr="00576902" w:rsidRDefault="00CE1682" w:rsidP="00324C7B">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256 107,26</w:t>
            </w:r>
          </w:p>
          <w:p w:rsidR="000326FF" w:rsidRPr="00576902" w:rsidRDefault="000326FF" w:rsidP="000326FF">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Środki własne</w:t>
            </w:r>
          </w:p>
          <w:p w:rsidR="000326FF" w:rsidRPr="00576902" w:rsidRDefault="00CE1682" w:rsidP="00021742">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97 434,74</w:t>
            </w: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10a</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EB5583"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 infrastrukturze przedszkolnej – 25 osób</w:t>
            </w:r>
          </w:p>
          <w:p w:rsidR="000326FF" w:rsidRPr="00C613D1" w:rsidRDefault="00EB5583"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osób korzystających z objętej wsparciem infrastruktury przedszkolnej – 25 osób</w:t>
            </w:r>
            <w:r w:rsidR="000326FF" w:rsidRPr="00C613D1">
              <w:rPr>
                <w:rFonts w:ascii="Garamond" w:eastAsia="Times New Roman" w:hAnsi="Garamond" w:cs="Arial"/>
                <w:color w:val="000000" w:themeColor="text1"/>
                <w:sz w:val="16"/>
                <w:szCs w:val="16"/>
              </w:rPr>
              <w:t xml:space="preserve"> </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EB5583" w:rsidRPr="00C613D1" w:rsidRDefault="00EB5583"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bCs/>
                <w:color w:val="000000" w:themeColor="text1"/>
                <w:sz w:val="16"/>
                <w:szCs w:val="16"/>
              </w:rPr>
            </w:pPr>
            <w:r w:rsidRPr="00C613D1">
              <w:rPr>
                <w:rFonts w:ascii="Garamond" w:hAnsi="Garamond"/>
                <w:bCs/>
                <w:color w:val="000000" w:themeColor="text1"/>
                <w:sz w:val="16"/>
                <w:szCs w:val="16"/>
              </w:rPr>
              <w:t xml:space="preserve">Pracownia inspiracji – termomodernizacja budynku </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 xml:space="preserve">Chorągiew Kujawsko-Pomorska ZHP </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73B5C">
            <w:pPr>
              <w:pStyle w:val="S1"/>
              <w:numPr>
                <w:ilvl w:val="0"/>
                <w:numId w:val="0"/>
              </w:numPr>
              <w:spacing w:before="40" w:after="40" w:line="240" w:lineRule="auto"/>
              <w:rPr>
                <w:b w:val="0"/>
                <w:color w:val="000000" w:themeColor="text1"/>
                <w:sz w:val="16"/>
                <w:szCs w:val="16"/>
              </w:rPr>
            </w:pPr>
            <w:r w:rsidRPr="00C613D1">
              <w:rPr>
                <w:rFonts w:eastAsia="Times New Roman" w:cs="Arial"/>
                <w:b w:val="0"/>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2015-2017</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Miasto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0326FF" w:rsidRPr="00C613D1" w:rsidRDefault="000326FF" w:rsidP="00324C7B">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1 077 950,80</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815 388,03</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262 562,77</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Ilość zaoszczędzonej energii cieplnej GJ/rok- 131,8</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efektywności energetycznej – 80,3%</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zmodernizowanych energetycznie budynków – 1 szt.</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Powierzchnia użytkowa budynków poddana termomodernizacji – 402 m2</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Szacowany roczny spadek emisji gazów cieplarnianych tony równoważnika CO2/rok- 0,21 Tony/rok</w:t>
            </w:r>
          </w:p>
          <w:p w:rsidR="000326FF" w:rsidRPr="00C613D1" w:rsidRDefault="000326FF" w:rsidP="000326FF">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Zmniejszenie rocznego zużycia energii pierwotnej w budynkach publicznych kWh/rok- 36 611,1 </w:t>
            </w:r>
            <w:proofErr w:type="spellStart"/>
            <w:r w:rsidRPr="00C613D1">
              <w:rPr>
                <w:rFonts w:ascii="Garamond" w:eastAsia="Times New Roman" w:hAnsi="Garamond" w:cs="Arial"/>
                <w:color w:val="000000" w:themeColor="text1"/>
                <w:sz w:val="16"/>
                <w:szCs w:val="16"/>
              </w:rPr>
              <w:t>Kwh</w:t>
            </w:r>
            <w:proofErr w:type="spellEnd"/>
            <w:r w:rsidRPr="00C613D1">
              <w:rPr>
                <w:rFonts w:ascii="Garamond" w:eastAsia="Times New Roman" w:hAnsi="Garamond" w:cs="Arial"/>
                <w:color w:val="000000" w:themeColor="text1"/>
                <w:sz w:val="16"/>
                <w:szCs w:val="16"/>
              </w:rPr>
              <w:t>/rok</w:t>
            </w:r>
          </w:p>
        </w:tc>
      </w:tr>
      <w:tr w:rsidR="00C613D1" w:rsidRPr="00C613D1" w:rsidTr="00D42171">
        <w:trPr>
          <w:trHeight w:val="20"/>
        </w:trPr>
        <w:tc>
          <w:tcPr>
            <w:tcW w:w="197"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9B0428" w:rsidRPr="00C613D1" w:rsidRDefault="009B0428"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48</w:t>
            </w:r>
          </w:p>
        </w:tc>
        <w:tc>
          <w:tcPr>
            <w:tcW w:w="770"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rPr>
                <w:rFonts w:ascii="Garamond" w:hAnsi="Garamond"/>
                <w:bCs/>
                <w:color w:val="000000" w:themeColor="text1"/>
                <w:sz w:val="16"/>
                <w:szCs w:val="16"/>
              </w:rPr>
            </w:pPr>
            <w:r w:rsidRPr="00C613D1">
              <w:rPr>
                <w:rFonts w:ascii="Garamond" w:hAnsi="Garamond" w:cs="Times New Roman"/>
                <w:color w:val="000000" w:themeColor="text1"/>
                <w:sz w:val="16"/>
                <w:szCs w:val="16"/>
              </w:rPr>
              <w:t>Inteligentne zarządzanie energią w budynkach użyteczności publicznej Gminy Brodnica</w:t>
            </w:r>
          </w:p>
        </w:tc>
        <w:tc>
          <w:tcPr>
            <w:tcW w:w="6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Gmina Brodnica</w:t>
            </w:r>
          </w:p>
        </w:tc>
        <w:tc>
          <w:tcPr>
            <w:tcW w:w="6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p>
          <w:p w:rsidR="009B0428" w:rsidRPr="00C613D1" w:rsidRDefault="009B0428" w:rsidP="009B0428">
            <w:pPr>
              <w:spacing w:before="40" w:after="40" w:line="240" w:lineRule="auto"/>
              <w:jc w:val="center"/>
              <w:rPr>
                <w:rFonts w:ascii="Garamond" w:eastAsia="Times New Roman" w:hAnsi="Garamond" w:cs="Arial"/>
                <w:bCs/>
                <w:color w:val="000000" w:themeColor="text1"/>
                <w:sz w:val="16"/>
                <w:szCs w:val="16"/>
              </w:rPr>
            </w:pPr>
            <w:r w:rsidRPr="00C613D1">
              <w:rPr>
                <w:rFonts w:eastAsia="Times New Roman" w:cs="Arial"/>
                <w:b/>
                <w:bCs/>
                <w:color w:val="000000" w:themeColor="text1"/>
                <w:sz w:val="16"/>
                <w:szCs w:val="16"/>
              </w:rPr>
              <w:t>Niska efektywność energetyczna budynków użyteczności publicznej i wielorodzinnych oraz niewielkie wykorzystania odnawialnych źródeł energii</w:t>
            </w:r>
          </w:p>
        </w:tc>
        <w:tc>
          <w:tcPr>
            <w:tcW w:w="321"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89312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334"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9B0428"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Brodnica</w:t>
            </w:r>
          </w:p>
        </w:tc>
        <w:tc>
          <w:tcPr>
            <w:tcW w:w="456" w:type="pct"/>
            <w:tcBorders>
              <w:top w:val="single" w:sz="4" w:space="0" w:color="824BB0"/>
              <w:left w:val="single" w:sz="4" w:space="0" w:color="824BB0"/>
              <w:bottom w:val="single" w:sz="4" w:space="0" w:color="824BB0"/>
              <w:right w:val="single" w:sz="4" w:space="0" w:color="824BB0"/>
            </w:tcBorders>
            <w:shd w:val="clear" w:color="auto" w:fill="auto"/>
            <w:noWrap/>
            <w:vAlign w:val="center"/>
          </w:tcPr>
          <w:p w:rsidR="009B0428" w:rsidRPr="00C613D1" w:rsidRDefault="009B0428" w:rsidP="00324C7B">
            <w:pPr>
              <w:spacing w:before="40" w:after="40" w:line="240" w:lineRule="auto"/>
              <w:jc w:val="right"/>
              <w:rPr>
                <w:rFonts w:ascii="Garamond" w:hAnsi="Garamond"/>
                <w:color w:val="000000" w:themeColor="text1"/>
                <w:sz w:val="16"/>
                <w:szCs w:val="16"/>
              </w:rPr>
            </w:pPr>
            <w:r w:rsidRPr="00C613D1">
              <w:rPr>
                <w:rFonts w:ascii="Garamond" w:hAnsi="Garamond" w:cs="Arial"/>
                <w:color w:val="000000" w:themeColor="text1"/>
                <w:sz w:val="16"/>
                <w:szCs w:val="16"/>
              </w:rPr>
              <w:t>832 489,51</w:t>
            </w:r>
          </w:p>
        </w:tc>
        <w:tc>
          <w:tcPr>
            <w:tcW w:w="389" w:type="pct"/>
            <w:tcBorders>
              <w:top w:val="single" w:sz="4" w:space="0" w:color="824BB0"/>
              <w:left w:val="single" w:sz="4" w:space="0" w:color="824BB0"/>
              <w:bottom w:val="single" w:sz="4" w:space="0" w:color="824BB0"/>
              <w:right w:val="single" w:sz="4" w:space="0" w:color="824BB0"/>
            </w:tcBorders>
            <w:shd w:val="clear" w:color="auto" w:fill="auto"/>
            <w:vAlign w:val="center"/>
          </w:tcPr>
          <w:p w:rsidR="0075356A" w:rsidRPr="00C613D1" w:rsidRDefault="0075356A" w:rsidP="0075356A">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EFRR</w:t>
            </w:r>
          </w:p>
          <w:p w:rsidR="0075356A" w:rsidRPr="00C613D1" w:rsidRDefault="0075356A" w:rsidP="0075356A">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622 522,13</w:t>
            </w:r>
          </w:p>
          <w:p w:rsidR="0075356A" w:rsidRPr="00C613D1" w:rsidRDefault="0075356A" w:rsidP="0075356A">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75356A" w:rsidRPr="00C613D1" w:rsidRDefault="0075356A" w:rsidP="0075356A">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209 967,38</w:t>
            </w:r>
          </w:p>
          <w:p w:rsidR="009B0428" w:rsidRPr="00C613D1" w:rsidRDefault="009B0428" w:rsidP="0075356A">
            <w:pPr>
              <w:pStyle w:val="Akapitzlist"/>
              <w:spacing w:before="40" w:after="40" w:line="240" w:lineRule="auto"/>
              <w:ind w:left="170"/>
              <w:rPr>
                <w:rFonts w:ascii="Garamond" w:eastAsia="Times New Roman" w:hAnsi="Garamond" w:cs="Arial"/>
                <w:bCs/>
                <w:color w:val="000000" w:themeColor="text1"/>
                <w:sz w:val="16"/>
                <w:szCs w:val="16"/>
              </w:rPr>
            </w:pPr>
          </w:p>
        </w:tc>
        <w:tc>
          <w:tcPr>
            <w:tcW w:w="153" w:type="pct"/>
            <w:tcBorders>
              <w:top w:val="single" w:sz="4" w:space="0" w:color="824BB0"/>
              <w:left w:val="single" w:sz="4" w:space="0" w:color="824BB0"/>
              <w:bottom w:val="single" w:sz="4" w:space="0" w:color="824BB0"/>
              <w:right w:val="single" w:sz="4" w:space="0" w:color="824BB0"/>
            </w:tcBorders>
            <w:shd w:val="clear" w:color="auto" w:fill="auto"/>
            <w:vAlign w:val="center"/>
          </w:tcPr>
          <w:p w:rsidR="009B0428" w:rsidRPr="00C613D1" w:rsidRDefault="00492F4D"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4c</w:t>
            </w:r>
          </w:p>
        </w:tc>
        <w:tc>
          <w:tcPr>
            <w:tcW w:w="1073" w:type="pct"/>
            <w:tcBorders>
              <w:top w:val="single" w:sz="4" w:space="0" w:color="824BB0"/>
              <w:left w:val="single" w:sz="4" w:space="0" w:color="824BB0"/>
              <w:bottom w:val="single" w:sz="4" w:space="0" w:color="824BB0"/>
              <w:right w:val="single" w:sz="4" w:space="0" w:color="824BB0"/>
            </w:tcBorders>
            <w:shd w:val="clear" w:color="auto" w:fill="auto"/>
            <w:vAlign w:val="center"/>
          </w:tcPr>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Zmniejszenie rocznego zużycia energii pierwotnej w budynkach publicznych – 169 745,80 kWh/rok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Szacowany roczny spadek emisji gazów cieplarnianych – 122,74 Mg CO</w:t>
            </w:r>
            <w:r w:rsidRPr="00C613D1">
              <w:rPr>
                <w:rFonts w:ascii="Garamond" w:hAnsi="Garamond"/>
                <w:color w:val="000000" w:themeColor="text1"/>
                <w:sz w:val="16"/>
                <w:szCs w:val="16"/>
                <w:vertAlign w:val="subscript"/>
              </w:rPr>
              <w:t>2</w:t>
            </w:r>
            <w:r w:rsidRPr="00C613D1">
              <w:rPr>
                <w:rFonts w:ascii="Garamond" w:hAnsi="Garamond"/>
                <w:color w:val="000000" w:themeColor="text1"/>
                <w:sz w:val="16"/>
                <w:szCs w:val="16"/>
              </w:rPr>
              <w:t>/rok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Liczba zmodernizowanych energetycznie budynków –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Dodatkowa zdolność wytwarzania energii ze źródeł odnawialnych – 13,3 MW/rok</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Liczba wybudowanych jednostek wytwarzania energii elektrycznej z OZE </w:t>
            </w:r>
            <w:r w:rsidRPr="00C613D1">
              <w:rPr>
                <w:rFonts w:ascii="Garamond" w:hAnsi="Garamond"/>
                <w:color w:val="000000" w:themeColor="text1"/>
                <w:sz w:val="16"/>
                <w:szCs w:val="16"/>
              </w:rPr>
              <w:lastRenderedPageBreak/>
              <w:t>–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Liczba przebudowanych jednostek wytwarzania energii elektrycznej z OZE – 0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 xml:space="preserve"> Liczba wybudowanych jednostek wytwarzania energii cieplnej z OZE - 3 szt.</w:t>
            </w:r>
          </w:p>
          <w:p w:rsidR="0089312C" w:rsidRPr="00C613D1" w:rsidRDefault="0089312C" w:rsidP="0089312C">
            <w:pPr>
              <w:pStyle w:val="Akapitzlist"/>
              <w:numPr>
                <w:ilvl w:val="0"/>
                <w:numId w:val="60"/>
              </w:numPr>
              <w:suppressAutoHyphens/>
              <w:autoSpaceDN w:val="0"/>
              <w:spacing w:after="0" w:line="23" w:lineRule="atLeast"/>
              <w:contextualSpacing w:val="0"/>
              <w:jc w:val="both"/>
              <w:textAlignment w:val="baseline"/>
              <w:rPr>
                <w:rFonts w:ascii="Garamond" w:hAnsi="Garamond"/>
                <w:color w:val="000000" w:themeColor="text1"/>
                <w:sz w:val="16"/>
                <w:szCs w:val="16"/>
              </w:rPr>
            </w:pPr>
            <w:r w:rsidRPr="00C613D1">
              <w:rPr>
                <w:rFonts w:ascii="Garamond" w:hAnsi="Garamond"/>
                <w:color w:val="000000" w:themeColor="text1"/>
                <w:sz w:val="16"/>
                <w:szCs w:val="16"/>
              </w:rPr>
              <w:t>Liczba przebudowanych jednostek wytwarzania energii cieplnej z OZE – 0 szt.</w:t>
            </w:r>
          </w:p>
          <w:p w:rsidR="009B0428" w:rsidRPr="00C613D1" w:rsidRDefault="0089312C" w:rsidP="0089312C">
            <w:pPr>
              <w:pStyle w:val="Akapitzlist"/>
              <w:numPr>
                <w:ilvl w:val="0"/>
                <w:numId w:val="60"/>
              </w:numPr>
              <w:spacing w:before="40" w:after="4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Powierzchnia użytkowa budynków poddanych termomodernizacji – 1.913 m</w:t>
            </w:r>
            <w:r w:rsidRPr="00C613D1">
              <w:rPr>
                <w:rFonts w:ascii="Garamond" w:hAnsi="Garamond"/>
                <w:color w:val="000000" w:themeColor="text1"/>
                <w:sz w:val="16"/>
                <w:szCs w:val="16"/>
                <w:vertAlign w:val="superscript"/>
              </w:rPr>
              <w:t>2</w:t>
            </w:r>
          </w:p>
        </w:tc>
      </w:tr>
    </w:tbl>
    <w:p w:rsidR="000326FF" w:rsidRPr="00C613D1" w:rsidRDefault="000326FF" w:rsidP="000326FF">
      <w:pPr>
        <w:pStyle w:val="T"/>
        <w:rPr>
          <w:color w:val="000000" w:themeColor="text1"/>
        </w:rPr>
        <w:sectPr w:rsidR="000326FF" w:rsidRPr="00C613D1" w:rsidSect="00324C7B">
          <w:pgSz w:w="16838" w:h="11906" w:orient="landscape"/>
          <w:pgMar w:top="1417" w:right="1417" w:bottom="1417" w:left="1417" w:header="708" w:footer="708" w:gutter="0"/>
          <w:cols w:space="708"/>
          <w:docGrid w:linePitch="360"/>
        </w:sectPr>
      </w:pPr>
    </w:p>
    <w:p w:rsidR="000326FF" w:rsidRPr="00C613D1" w:rsidRDefault="000326FF" w:rsidP="000326FF">
      <w:pPr>
        <w:pStyle w:val="T"/>
        <w:rPr>
          <w:color w:val="000000" w:themeColor="text1"/>
        </w:rPr>
      </w:pPr>
      <w:bookmarkStart w:id="106" w:name="_Toc430872030"/>
      <w:r w:rsidRPr="00C613D1">
        <w:rPr>
          <w:color w:val="000000" w:themeColor="text1"/>
        </w:rPr>
        <w:lastRenderedPageBreak/>
        <w:t>Tabela 48. Lista podstawowa projektów finansowanych w ramach EFS -  aktualizacja St</w:t>
      </w:r>
      <w:r w:rsidR="00406795" w:rsidRPr="00C613D1">
        <w:rPr>
          <w:color w:val="000000" w:themeColor="text1"/>
        </w:rPr>
        <w:t>rategii ORS</w:t>
      </w:r>
      <w:r w:rsidR="00576902">
        <w:rPr>
          <w:color w:val="000000" w:themeColor="text1"/>
        </w:rPr>
        <w:t>G w dniu 12 lipca</w:t>
      </w:r>
      <w:r w:rsidR="008D3751" w:rsidRPr="00C613D1">
        <w:rPr>
          <w:color w:val="000000" w:themeColor="text1"/>
        </w:rPr>
        <w:t xml:space="preserve"> 2018r. uchwałą nr XX</w:t>
      </w:r>
      <w:r w:rsidR="004929DF" w:rsidRPr="00C613D1">
        <w:rPr>
          <w:color w:val="000000" w:themeColor="text1"/>
        </w:rPr>
        <w:t>I</w:t>
      </w:r>
      <w:r w:rsidR="007A5CA2">
        <w:rPr>
          <w:color w:val="000000" w:themeColor="text1"/>
        </w:rPr>
        <w:t>I</w:t>
      </w:r>
      <w:r w:rsidR="00576902">
        <w:rPr>
          <w:color w:val="000000" w:themeColor="text1"/>
        </w:rPr>
        <w:t>I</w:t>
      </w:r>
      <w:r w:rsidR="002A5C94" w:rsidRPr="00C613D1">
        <w:rPr>
          <w:color w:val="000000" w:themeColor="text1"/>
        </w:rPr>
        <w:t>/</w:t>
      </w:r>
      <w:r w:rsidR="00576902">
        <w:rPr>
          <w:color w:val="000000" w:themeColor="text1"/>
        </w:rPr>
        <w:t>34</w:t>
      </w:r>
      <w:r w:rsidR="008D3751" w:rsidRPr="00C613D1">
        <w:rPr>
          <w:color w:val="000000" w:themeColor="text1"/>
        </w:rPr>
        <w:t>/2018</w:t>
      </w:r>
      <w:r w:rsidRPr="00C613D1">
        <w:rPr>
          <w:color w:val="000000" w:themeColor="text1"/>
        </w:rPr>
        <w:t xml:space="preserve"> Komitetu Sterującego ORSG Powiatu Brodnickiego.</w:t>
      </w:r>
    </w:p>
    <w:p w:rsidR="000326FF" w:rsidRPr="00C613D1" w:rsidRDefault="000326FF" w:rsidP="000326FF">
      <w:pPr>
        <w:pStyle w:val="T"/>
        <w:rPr>
          <w:color w:val="000000" w:themeColor="text1"/>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0"/>
        <w:gridCol w:w="2134"/>
        <w:gridCol w:w="1135"/>
        <w:gridCol w:w="2267"/>
        <w:gridCol w:w="990"/>
        <w:gridCol w:w="993"/>
        <w:gridCol w:w="1134"/>
        <w:gridCol w:w="1417"/>
        <w:gridCol w:w="424"/>
        <w:gridCol w:w="3160"/>
      </w:tblGrid>
      <w:tr w:rsidR="00C613D1" w:rsidRPr="00C613D1" w:rsidTr="00324C7B">
        <w:trPr>
          <w:trHeight w:val="20"/>
        </w:trPr>
        <w:tc>
          <w:tcPr>
            <w:tcW w:w="173" w:type="pct"/>
            <w:tcBorders>
              <w:right w:val="single" w:sz="4" w:space="0" w:color="FFFFFF" w:themeColor="background1"/>
            </w:tcBorders>
            <w:shd w:val="clear" w:color="auto" w:fill="824BB0"/>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Lp.</w:t>
            </w:r>
          </w:p>
        </w:tc>
        <w:tc>
          <w:tcPr>
            <w:tcW w:w="754"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Nazwa projektu</w:t>
            </w:r>
          </w:p>
        </w:tc>
        <w:tc>
          <w:tcPr>
            <w:tcW w:w="4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Beneficjent</w:t>
            </w:r>
          </w:p>
        </w:tc>
        <w:tc>
          <w:tcPr>
            <w:tcW w:w="8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b/>
                <w:color w:val="000000" w:themeColor="text1"/>
                <w:sz w:val="16"/>
                <w:szCs w:val="16"/>
              </w:rPr>
            </w:pPr>
            <w:r w:rsidRPr="00C613D1">
              <w:rPr>
                <w:rFonts w:ascii="Garamond" w:hAnsi="Garamond"/>
                <w:b/>
                <w:color w:val="000000" w:themeColor="text1"/>
                <w:sz w:val="16"/>
                <w:szCs w:val="16"/>
              </w:rPr>
              <w:t>Powiązany problem/</w:t>
            </w:r>
          </w:p>
          <w:p w:rsidR="000326FF" w:rsidRPr="00C613D1" w:rsidRDefault="000326FF" w:rsidP="00324C7B">
            <w:pPr>
              <w:spacing w:before="40" w:after="40"/>
              <w:jc w:val="center"/>
              <w:rPr>
                <w:rFonts w:ascii="Garamond" w:eastAsia="Times New Roman" w:hAnsi="Garamond" w:cs="Arial"/>
                <w:b/>
                <w:bCs/>
                <w:color w:val="000000" w:themeColor="text1"/>
                <w:sz w:val="16"/>
                <w:szCs w:val="16"/>
              </w:rPr>
            </w:pPr>
            <w:r w:rsidRPr="00C613D1">
              <w:rPr>
                <w:rFonts w:ascii="Garamond" w:hAnsi="Garamond"/>
                <w:b/>
                <w:color w:val="000000" w:themeColor="text1"/>
                <w:sz w:val="16"/>
                <w:szCs w:val="16"/>
              </w:rPr>
              <w:t>potencjał</w:t>
            </w:r>
          </w:p>
        </w:tc>
        <w:tc>
          <w:tcPr>
            <w:tcW w:w="350" w:type="pct"/>
            <w:tcBorders>
              <w:left w:val="single" w:sz="4" w:space="0" w:color="FFFFFF" w:themeColor="background1"/>
              <w:righ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Okres realizacji</w:t>
            </w:r>
          </w:p>
        </w:tc>
        <w:tc>
          <w:tcPr>
            <w:tcW w:w="35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Zasięg terytorialny</w:t>
            </w:r>
          </w:p>
        </w:tc>
        <w:tc>
          <w:tcPr>
            <w:tcW w:w="401" w:type="pct"/>
            <w:tcBorders>
              <w:left w:val="single" w:sz="4" w:space="0" w:color="FFFFFF" w:themeColor="background1"/>
              <w:right w:val="single" w:sz="4" w:space="0" w:color="FFFFFF" w:themeColor="background1"/>
            </w:tcBorders>
            <w:shd w:val="clear" w:color="auto" w:fill="824BB0"/>
            <w:noWrap/>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Koszt</w:t>
            </w:r>
          </w:p>
        </w:tc>
        <w:tc>
          <w:tcPr>
            <w:tcW w:w="501" w:type="pct"/>
            <w:tcBorders>
              <w:left w:val="single" w:sz="4" w:space="0" w:color="FFFFFF" w:themeColor="background1"/>
              <w:right w:val="single" w:sz="4" w:space="0" w:color="FFFFFF" w:themeColor="background1"/>
            </w:tcBorders>
            <w:shd w:val="clear" w:color="auto" w:fill="824BB0"/>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Źródła finansowania/</w:t>
            </w:r>
          </w:p>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kwoty zł</w:t>
            </w:r>
          </w:p>
        </w:tc>
        <w:tc>
          <w:tcPr>
            <w:tcW w:w="150" w:type="pct"/>
            <w:tcBorders>
              <w:left w:val="single" w:sz="4" w:space="0" w:color="FFFFFF" w:themeColor="background1"/>
              <w:righ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PI</w:t>
            </w:r>
          </w:p>
        </w:tc>
        <w:tc>
          <w:tcPr>
            <w:tcW w:w="1117" w:type="pct"/>
            <w:tcBorders>
              <w:left w:val="single" w:sz="4" w:space="0" w:color="FFFFFF" w:themeColor="background1"/>
            </w:tcBorders>
            <w:shd w:val="clear" w:color="auto" w:fill="824BB0"/>
            <w:vAlign w:val="center"/>
            <w:hideMark/>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eastAsia="Times New Roman" w:hAnsi="Garamond" w:cs="Arial"/>
                <w:b/>
                <w:bCs/>
                <w:color w:val="000000" w:themeColor="text1"/>
                <w:sz w:val="16"/>
                <w:szCs w:val="16"/>
              </w:rPr>
              <w:t>Wskaźniki projektu</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Start w dorosłość</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Dom Dziecka w Brodnicy</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EFS </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 85 000,00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 osób zagrożonych ubóstwem lub wykluczeniem społecznym, które uzyskają kwalifikacje po opuszczeniu programu,</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poszukujących  pracy po opuszczeniu programu – os. 10</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po opuszczeniu programu (łącznie z pracującymi na własny rachunek) – os. 4 </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os. 4 </w:t>
            </w:r>
          </w:p>
          <w:p w:rsidR="000326FF" w:rsidRPr="00C613D1" w:rsidRDefault="000326FF" w:rsidP="00324C7B">
            <w:pPr>
              <w:pStyle w:val="Akapitzlist"/>
              <w:numPr>
                <w:ilvl w:val="0"/>
                <w:numId w:val="59"/>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niepełnosprawnościami objętych wsparciem w programie – os. 2</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20 osób zagrożonych ubóstwem lub wykluczeniem społecznym objętych wsparciem w programie.</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Kompetencje kluczem do kariery</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910C6F">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w:t>
            </w:r>
            <w:r w:rsidR="00910C6F" w:rsidRPr="00C613D1">
              <w:rPr>
                <w:rFonts w:ascii="Garamond" w:eastAsia="Times New Roman" w:hAnsi="Garamond" w:cs="Arial"/>
                <w:color w:val="000000" w:themeColor="text1"/>
                <w:sz w:val="16"/>
                <w:szCs w:val="16"/>
              </w:rPr>
              <w:t>8 - 2019</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961013" w:rsidP="00961013">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637 665,00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542 015,25</w:t>
            </w:r>
          </w:p>
          <w:p w:rsidR="00E7001E" w:rsidRPr="00C613D1" w:rsidRDefault="000326FF" w:rsidP="00E7001E">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9610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31 883,25</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63 766,50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którzy uzyskali kwalifikacje lub nabyli kompetencje po opuszczeniu programu – </w:t>
            </w:r>
            <w:r w:rsidR="007C6C50" w:rsidRPr="00C613D1">
              <w:rPr>
                <w:rFonts w:ascii="Garamond" w:eastAsia="Times New Roman" w:hAnsi="Garamond" w:cs="Arial"/>
                <w:color w:val="000000" w:themeColor="text1"/>
                <w:sz w:val="16"/>
                <w:szCs w:val="16"/>
              </w:rPr>
              <w:t>9</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490 osób </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prowadzenia zajęć edukacyjnyc</w:t>
            </w:r>
            <w:r w:rsidR="00552BFE" w:rsidRPr="00C613D1">
              <w:rPr>
                <w:rFonts w:ascii="Garamond" w:eastAsia="Times New Roman" w:hAnsi="Garamond" w:cs="Arial"/>
                <w:color w:val="000000" w:themeColor="text1"/>
                <w:sz w:val="16"/>
                <w:szCs w:val="16"/>
              </w:rPr>
              <w:t>h – 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w których pracownie przedmiotowe wykorzystują doposażenie do p</w:t>
            </w:r>
            <w:r w:rsidR="00552BFE" w:rsidRPr="00C613D1">
              <w:rPr>
                <w:rFonts w:ascii="Garamond" w:eastAsia="Times New Roman" w:hAnsi="Garamond" w:cs="Arial"/>
                <w:color w:val="000000" w:themeColor="text1"/>
                <w:sz w:val="16"/>
                <w:szCs w:val="16"/>
              </w:rPr>
              <w:t>rowadzenia zajęć edukacyjnych –3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objętych wsparciem w programie – </w:t>
            </w:r>
            <w:r w:rsidR="007C6C50" w:rsidRPr="00C613D1">
              <w:rPr>
                <w:rFonts w:ascii="Garamond" w:eastAsia="Times New Roman" w:hAnsi="Garamond" w:cs="Arial"/>
                <w:color w:val="000000" w:themeColor="text1"/>
                <w:sz w:val="16"/>
                <w:szCs w:val="16"/>
              </w:rPr>
              <w:t>9</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490 osób</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szkół i placówek systemu oświaty wyposażonych w ramach programu w sprzęt </w:t>
            </w:r>
            <w:r w:rsidRPr="00C613D1">
              <w:rPr>
                <w:rFonts w:ascii="Garamond" w:eastAsia="Times New Roman" w:hAnsi="Garamond" w:cs="Arial"/>
                <w:color w:val="000000" w:themeColor="text1"/>
                <w:sz w:val="16"/>
                <w:szCs w:val="16"/>
              </w:rPr>
              <w:lastRenderedPageBreak/>
              <w:t>TIK do prowadzenia zajęć edukacyjnych –</w:t>
            </w:r>
            <w:r w:rsidR="00552BFE" w:rsidRPr="00C613D1">
              <w:rPr>
                <w:rFonts w:ascii="Garamond" w:eastAsia="Times New Roman" w:hAnsi="Garamond" w:cs="Arial"/>
                <w:color w:val="000000" w:themeColor="text1"/>
                <w:sz w:val="16"/>
                <w:szCs w:val="16"/>
              </w:rPr>
              <w:t>3</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w:t>
            </w:r>
            <w:r w:rsidR="00552BFE" w:rsidRPr="00C613D1">
              <w:rPr>
                <w:rFonts w:ascii="Garamond" w:eastAsia="Times New Roman" w:hAnsi="Garamond" w:cs="Arial"/>
                <w:color w:val="000000" w:themeColor="text1"/>
                <w:sz w:val="16"/>
                <w:szCs w:val="16"/>
              </w:rPr>
              <w:t>stały doposażone w programie – 3</w:t>
            </w:r>
            <w:r w:rsidRPr="00C613D1">
              <w:rPr>
                <w:rFonts w:ascii="Garamond" w:eastAsia="Times New Roman" w:hAnsi="Garamond" w:cs="Arial"/>
                <w:color w:val="000000" w:themeColor="text1"/>
                <w:sz w:val="16"/>
                <w:szCs w:val="16"/>
              </w:rPr>
              <w:t xml:space="preserve"> szt.</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12</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Podnoszenie kwalifikacji drogą do sukcesu zawodowego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Atrakcyjna oferta staży i praktyk zawodowych</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spacing w:after="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Poprawa jakości kształcenie poprzez wyposażenie placówek kształcenia w odpowiedni sprzęt</w:t>
            </w:r>
          </w:p>
          <w:p w:rsidR="000326FF" w:rsidRPr="00C613D1" w:rsidRDefault="000326FF" w:rsidP="00324C7B">
            <w:pPr>
              <w:spacing w:after="0" w:line="240" w:lineRule="auto"/>
              <w:jc w:val="center"/>
              <w:rPr>
                <w:rFonts w:ascii="Garamond" w:hAnsi="Garamond"/>
                <w:color w:val="000000" w:themeColor="text1"/>
                <w:sz w:val="16"/>
                <w:szCs w:val="16"/>
              </w:rPr>
            </w:pPr>
          </w:p>
          <w:p w:rsidR="000326FF" w:rsidRPr="00C613D1" w:rsidRDefault="000326FF" w:rsidP="00324C7B">
            <w:pPr>
              <w:spacing w:after="0" w:line="240" w:lineRule="auto"/>
              <w:jc w:val="center"/>
              <w:rPr>
                <w:rFonts w:ascii="Garamond" w:hAnsi="Garamond"/>
                <w:color w:val="000000" w:themeColor="text1"/>
                <w:sz w:val="16"/>
                <w:szCs w:val="16"/>
              </w:rPr>
            </w:pPr>
            <w:r w:rsidRPr="00C613D1">
              <w:rPr>
                <w:rFonts w:ascii="Garamond" w:hAnsi="Garamond"/>
                <w:color w:val="000000" w:themeColor="text1"/>
                <w:sz w:val="16"/>
                <w:szCs w:val="16"/>
              </w:rPr>
              <w:t>Rozwój kompetencji kluczowych uczniów oraz podnoszenie kwalifikacji i kompetencji nauczycieli na wszystkich poziomach kształcenia</w:t>
            </w:r>
          </w:p>
        </w:tc>
        <w:tc>
          <w:tcPr>
            <w:tcW w:w="350" w:type="pct"/>
            <w:shd w:val="clear" w:color="auto" w:fill="auto"/>
            <w:vAlign w:val="center"/>
            <w:hideMark/>
          </w:tcPr>
          <w:p w:rsidR="000326FF" w:rsidRPr="00C613D1" w:rsidRDefault="00910C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2020-2021</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910C6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1 508 000,00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1 281 800,00</w:t>
            </w:r>
          </w:p>
          <w:p w:rsidR="00CC6BDD" w:rsidRPr="00C613D1" w:rsidRDefault="00CC6BDD" w:rsidP="00CC6BDD">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CC6BDD" w:rsidRPr="00C613D1" w:rsidRDefault="00CC6BDD" w:rsidP="00CC6BDD">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75 400,00</w:t>
            </w:r>
          </w:p>
          <w:p w:rsidR="000326FF" w:rsidRPr="00C613D1" w:rsidRDefault="00CC6BDD"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150 800,00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10iv</w:t>
            </w:r>
          </w:p>
        </w:tc>
        <w:tc>
          <w:tcPr>
            <w:tcW w:w="1117" w:type="pct"/>
            <w:shd w:val="clear" w:color="auto" w:fill="auto"/>
            <w:vAlign w:val="center"/>
            <w:hideMark/>
          </w:tcPr>
          <w:p w:rsidR="00910C6F" w:rsidRPr="00C613D1" w:rsidRDefault="00910C6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kształcenia zawodowego oraz instruktorów praktycznej nauki zawodu, którzy uzyskali kwalifikacje lub nabyli kompetencje po opuszczeniu programu – 2 osoby,</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kształcenia zawodowego wykorzystujących dopos</w:t>
            </w:r>
            <w:r w:rsidR="00910C6F" w:rsidRPr="00C613D1">
              <w:rPr>
                <w:rFonts w:ascii="Garamond" w:eastAsia="Times New Roman" w:hAnsi="Garamond" w:cs="Arial"/>
                <w:color w:val="000000" w:themeColor="text1"/>
                <w:sz w:val="16"/>
                <w:szCs w:val="16"/>
              </w:rPr>
              <w:t xml:space="preserve">ażenie zakupione dzięki EFS – 2 </w:t>
            </w:r>
            <w:r w:rsidRPr="00C613D1">
              <w:rPr>
                <w:rFonts w:ascii="Garamond" w:eastAsia="Times New Roman" w:hAnsi="Garamond" w:cs="Arial"/>
                <w:color w:val="000000" w:themeColor="text1"/>
                <w:sz w:val="16"/>
                <w:szCs w:val="16"/>
              </w:rPr>
              <w:t>szt.</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szkół i </w:t>
            </w:r>
            <w:proofErr w:type="spellStart"/>
            <w:r w:rsidRPr="00C613D1">
              <w:rPr>
                <w:rFonts w:ascii="Garamond" w:eastAsia="Times New Roman" w:hAnsi="Garamond" w:cs="Arial"/>
                <w:color w:val="000000" w:themeColor="text1"/>
                <w:sz w:val="16"/>
                <w:szCs w:val="16"/>
              </w:rPr>
              <w:t>placowek</w:t>
            </w:r>
            <w:proofErr w:type="spellEnd"/>
            <w:r w:rsidRPr="00C613D1">
              <w:rPr>
                <w:rFonts w:ascii="Garamond" w:eastAsia="Times New Roman" w:hAnsi="Garamond" w:cs="Arial"/>
                <w:color w:val="000000" w:themeColor="text1"/>
                <w:sz w:val="16"/>
                <w:szCs w:val="16"/>
              </w:rPr>
              <w:t xml:space="preserve"> kształcenia zawodowego, którzy podnieśli, nabyli lub uzupełnili kompetencje </w:t>
            </w:r>
            <w:proofErr w:type="spellStart"/>
            <w:r w:rsidRPr="00C613D1">
              <w:rPr>
                <w:rFonts w:ascii="Garamond" w:eastAsia="Times New Roman" w:hAnsi="Garamond" w:cs="Arial"/>
                <w:color w:val="000000" w:themeColor="text1"/>
                <w:sz w:val="16"/>
                <w:szCs w:val="16"/>
              </w:rPr>
              <w:t>zawodow</w:t>
            </w:r>
            <w:proofErr w:type="spellEnd"/>
            <w:r w:rsidRPr="00C613D1">
              <w:rPr>
                <w:rFonts w:ascii="Garamond" w:eastAsia="Times New Roman" w:hAnsi="Garamond" w:cs="Arial"/>
                <w:color w:val="000000" w:themeColor="text1"/>
                <w:sz w:val="16"/>
                <w:szCs w:val="16"/>
              </w:rPr>
              <w:t xml:space="preserve"> po opuszczeniu programu- 374 osoby,</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 którzy uzyskali /podnieśli kwalifikacje w zakresie doradztwa zawodowego – 2 osoby,</w:t>
            </w:r>
          </w:p>
          <w:p w:rsidR="00A94730" w:rsidRPr="00C613D1" w:rsidRDefault="00A94730"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podnieśli, nabyli lub uzupełnili umiejętności praktyczne po opuszczeniu programu – 116 </w:t>
            </w:r>
            <w:proofErr w:type="spellStart"/>
            <w:r w:rsidRPr="00C613D1">
              <w:rPr>
                <w:rFonts w:ascii="Garamond" w:eastAsia="Times New Roman" w:hAnsi="Garamond" w:cs="Arial"/>
                <w:color w:val="000000" w:themeColor="text1"/>
                <w:sz w:val="16"/>
                <w:szCs w:val="16"/>
              </w:rPr>
              <w:t>osob</w:t>
            </w:r>
            <w:proofErr w:type="spellEnd"/>
            <w:r w:rsidRPr="00C613D1">
              <w:rPr>
                <w:rFonts w:ascii="Garamond" w:eastAsia="Times New Roman" w:hAnsi="Garamond" w:cs="Arial"/>
                <w:color w:val="000000" w:themeColor="text1"/>
                <w:sz w:val="16"/>
                <w:szCs w:val="16"/>
              </w:rPr>
              <w:t>,</w:t>
            </w:r>
          </w:p>
          <w:p w:rsidR="000326FF" w:rsidRPr="00C613D1" w:rsidRDefault="000326FF" w:rsidP="00324C7B">
            <w:pPr>
              <w:pStyle w:val="Akapitzlist"/>
              <w:numPr>
                <w:ilvl w:val="0"/>
                <w:numId w:val="60"/>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szkół i placówek kształcenia zawodowego uczestniczących w stażac</w:t>
            </w:r>
            <w:r w:rsidR="00A94730" w:rsidRPr="00C613D1">
              <w:rPr>
                <w:rFonts w:ascii="Garamond" w:eastAsia="Times New Roman" w:hAnsi="Garamond" w:cs="Arial"/>
                <w:color w:val="000000" w:themeColor="text1"/>
                <w:sz w:val="16"/>
                <w:szCs w:val="16"/>
              </w:rPr>
              <w:t xml:space="preserve">h i praktykach u pracodawcy – 116 </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szkół i placówek kształcenia zawodowego doposażonych w </w:t>
            </w:r>
            <w:r w:rsidR="00421E0E" w:rsidRPr="00C613D1">
              <w:rPr>
                <w:rFonts w:ascii="Garamond" w:eastAsia="Times New Roman" w:hAnsi="Garamond" w:cs="Arial"/>
                <w:color w:val="000000" w:themeColor="text1"/>
                <w:sz w:val="16"/>
                <w:szCs w:val="16"/>
              </w:rPr>
              <w:t xml:space="preserve">programie w </w:t>
            </w:r>
            <w:r w:rsidRPr="00C613D1">
              <w:rPr>
                <w:rFonts w:ascii="Garamond" w:eastAsia="Times New Roman" w:hAnsi="Garamond" w:cs="Arial"/>
                <w:color w:val="000000" w:themeColor="text1"/>
                <w:sz w:val="16"/>
                <w:szCs w:val="16"/>
              </w:rPr>
              <w:t>sprzęt i materiały dydaktyczne niezbędne do reali</w:t>
            </w:r>
            <w:r w:rsidR="00A94730" w:rsidRPr="00C613D1">
              <w:rPr>
                <w:rFonts w:ascii="Garamond" w:eastAsia="Times New Roman" w:hAnsi="Garamond" w:cs="Arial"/>
                <w:color w:val="000000" w:themeColor="text1"/>
                <w:sz w:val="16"/>
                <w:szCs w:val="16"/>
              </w:rPr>
              <w:t>zacji kształcenia zawodowego – 2</w:t>
            </w:r>
            <w:r w:rsidRPr="00C613D1">
              <w:rPr>
                <w:rFonts w:ascii="Garamond" w:eastAsia="Times New Roman" w:hAnsi="Garamond" w:cs="Arial"/>
                <w:color w:val="000000" w:themeColor="text1"/>
                <w:sz w:val="16"/>
                <w:szCs w:val="16"/>
              </w:rPr>
              <w:t xml:space="preserve"> szt.</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kształcenia zawodowego oraz instruktorów praktycznej nauki zawodu objętych wsparciem w programie – 2</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uczniów szkół i placówek kształcenia zawodowego, którzy zostali objęci wsparciem  w programie – 440 osób,</w:t>
            </w:r>
          </w:p>
          <w:p w:rsidR="00A94730" w:rsidRPr="00C613D1" w:rsidRDefault="00A94730" w:rsidP="00324C7B">
            <w:pPr>
              <w:pStyle w:val="Akapitzlist"/>
              <w:numPr>
                <w:ilvl w:val="0"/>
                <w:numId w:val="88"/>
              </w:numPr>
              <w:spacing w:after="0"/>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uzyskiwania/podnoszenia kwalifikacji w zakresie doradztwa zawodowego – 2.</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15</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Nie pracuję dla pieniędzy, to pieniądz pracuje dla mnie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 xml:space="preserve">Niewystarczająca oferta zajęć pozalekcyjnych dla uczniów oraz </w:t>
            </w:r>
            <w:r w:rsidRPr="00C613D1">
              <w:rPr>
                <w:b w:val="0"/>
                <w:color w:val="000000" w:themeColor="text1"/>
                <w:sz w:val="16"/>
                <w:szCs w:val="16"/>
              </w:rPr>
              <w:lastRenderedPageBreak/>
              <w:t>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6B3714" w:rsidP="006B3714">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1 969 786,80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6B371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1 674 318,78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6B371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295 468,02</w:t>
            </w:r>
          </w:p>
          <w:p w:rsidR="00CC6BDD"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CC6BDD" w:rsidRPr="00C613D1" w:rsidRDefault="00CC6BDD"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10iv</w:t>
            </w:r>
          </w:p>
        </w:tc>
        <w:tc>
          <w:tcPr>
            <w:tcW w:w="1117" w:type="pct"/>
            <w:shd w:val="clear" w:color="auto" w:fill="auto"/>
            <w:vAlign w:val="center"/>
            <w:hideMark/>
          </w:tcPr>
          <w:p w:rsidR="000326FF" w:rsidRPr="00C613D1" w:rsidRDefault="000326FF"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szkół i placówek kształcenia zawodowego </w:t>
            </w:r>
            <w:r w:rsidR="00A94730" w:rsidRPr="00C613D1">
              <w:rPr>
                <w:rFonts w:ascii="Garamond" w:hAnsi="Garamond"/>
                <w:color w:val="000000" w:themeColor="text1"/>
                <w:sz w:val="16"/>
                <w:szCs w:val="16"/>
              </w:rPr>
              <w:t>objętych wsparciem w programie – 675</w:t>
            </w:r>
            <w:r w:rsidRPr="00C613D1">
              <w:rPr>
                <w:rFonts w:ascii="Garamond" w:hAnsi="Garamond"/>
                <w:color w:val="000000" w:themeColor="text1"/>
                <w:sz w:val="16"/>
                <w:szCs w:val="16"/>
              </w:rPr>
              <w:t xml:space="preserve"> osób</w:t>
            </w:r>
          </w:p>
          <w:p w:rsidR="00A94730" w:rsidRPr="00C613D1" w:rsidRDefault="00A94730"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kształcenia zawodowego oraz </w:t>
            </w:r>
            <w:proofErr w:type="spellStart"/>
            <w:r w:rsidRPr="00C613D1">
              <w:rPr>
                <w:rFonts w:ascii="Garamond" w:hAnsi="Garamond"/>
                <w:color w:val="000000" w:themeColor="text1"/>
                <w:sz w:val="16"/>
                <w:szCs w:val="16"/>
              </w:rPr>
              <w:t>instruktorow</w:t>
            </w:r>
            <w:proofErr w:type="spellEnd"/>
            <w:r w:rsidRPr="00C613D1">
              <w:rPr>
                <w:rFonts w:ascii="Garamond" w:hAnsi="Garamond"/>
                <w:color w:val="000000" w:themeColor="text1"/>
                <w:sz w:val="16"/>
                <w:szCs w:val="16"/>
              </w:rPr>
              <w:t xml:space="preserve"> </w:t>
            </w:r>
            <w:r w:rsidRPr="00C613D1">
              <w:rPr>
                <w:rFonts w:ascii="Garamond" w:hAnsi="Garamond"/>
                <w:color w:val="000000" w:themeColor="text1"/>
                <w:sz w:val="16"/>
                <w:szCs w:val="16"/>
              </w:rPr>
              <w:lastRenderedPageBreak/>
              <w:t>praktycznej nauki zawodu, którzy uzyskali kwalifikacje lub nabyli kompetencje po opuszczeniu programu- 4</w:t>
            </w:r>
          </w:p>
          <w:p w:rsidR="00A94730" w:rsidRPr="00C613D1" w:rsidRDefault="00A94730"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szkół i placówek kształcenia zawodowego wykorzystujących doposażenie zakupione dzięki EFS- 2 ( ZS JP, </w:t>
            </w:r>
            <w:proofErr w:type="spellStart"/>
            <w:r w:rsidRPr="00C613D1">
              <w:rPr>
                <w:rFonts w:ascii="Garamond" w:hAnsi="Garamond"/>
                <w:color w:val="000000" w:themeColor="text1"/>
                <w:sz w:val="16"/>
                <w:szCs w:val="16"/>
              </w:rPr>
              <w:t>CKZiU</w:t>
            </w:r>
            <w:proofErr w:type="spellEnd"/>
            <w:r w:rsidRPr="00C613D1">
              <w:rPr>
                <w:rFonts w:ascii="Garamond" w:hAnsi="Garamond"/>
                <w:color w:val="000000" w:themeColor="text1"/>
                <w:sz w:val="16"/>
                <w:szCs w:val="16"/>
              </w:rPr>
              <w:t>)</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szkół i </w:t>
            </w:r>
            <w:proofErr w:type="spellStart"/>
            <w:r w:rsidRPr="00C613D1">
              <w:rPr>
                <w:rFonts w:ascii="Garamond" w:hAnsi="Garamond"/>
                <w:color w:val="000000" w:themeColor="text1"/>
                <w:sz w:val="16"/>
                <w:szCs w:val="16"/>
              </w:rPr>
              <w:t>placowek</w:t>
            </w:r>
            <w:proofErr w:type="spellEnd"/>
            <w:r w:rsidRPr="00C613D1">
              <w:rPr>
                <w:rFonts w:ascii="Garamond" w:hAnsi="Garamond"/>
                <w:color w:val="000000" w:themeColor="text1"/>
                <w:sz w:val="16"/>
                <w:szCs w:val="16"/>
              </w:rPr>
              <w:t xml:space="preserve"> kształcenia zawodowego uczestniczących w stażach i praktykach u pracodawcy – 166,</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kształcenia zawodowego oraz instruktorów praktycznej nauki zawodu objętych wsparciem w programie – 4</w:t>
            </w:r>
          </w:p>
          <w:p w:rsidR="00D2213D" w:rsidRPr="00C613D1" w:rsidRDefault="00D2213D" w:rsidP="00324C7B">
            <w:pPr>
              <w:pStyle w:val="Akapitzlist"/>
              <w:numPr>
                <w:ilvl w:val="0"/>
                <w:numId w:val="9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szkół i placówek kształcenia zawodowego doposażonych w sprzęt i materiały dydaktyczne niezbędne do realizacji kształcenia zawodowego – 2 (ZS JP, </w:t>
            </w:r>
            <w:proofErr w:type="spellStart"/>
            <w:r w:rsidRPr="00C613D1">
              <w:rPr>
                <w:rFonts w:ascii="Garamond" w:hAnsi="Garamond"/>
                <w:color w:val="000000" w:themeColor="text1"/>
                <w:sz w:val="16"/>
                <w:szCs w:val="16"/>
              </w:rPr>
              <w:t>CKZiU</w:t>
            </w:r>
            <w:proofErr w:type="spellEnd"/>
            <w:r w:rsidRPr="00C613D1">
              <w:rPr>
                <w:rFonts w:ascii="Garamond" w:hAnsi="Garamond"/>
                <w:color w:val="000000" w:themeColor="text1"/>
                <w:sz w:val="16"/>
                <w:szCs w:val="16"/>
              </w:rPr>
              <w:t>).</w:t>
            </w:r>
          </w:p>
          <w:p w:rsidR="000326FF" w:rsidRPr="00C613D1" w:rsidRDefault="000326FF" w:rsidP="00D2213D">
            <w:pPr>
              <w:pStyle w:val="Akapitzlist"/>
              <w:spacing w:before="40" w:after="40" w:line="240" w:lineRule="auto"/>
              <w:ind w:left="360"/>
              <w:jc w:val="both"/>
              <w:rPr>
                <w:rFonts w:ascii="Garamond" w:hAnsi="Garamond"/>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18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b/>
                <w:bCs/>
                <w:color w:val="000000" w:themeColor="text1"/>
                <w:sz w:val="16"/>
                <w:szCs w:val="16"/>
              </w:rPr>
            </w:pPr>
            <w:r w:rsidRPr="00C613D1">
              <w:rPr>
                <w:rFonts w:ascii="Garamond" w:hAnsi="Garamond" w:cs="Arial"/>
                <w:color w:val="000000" w:themeColor="text1"/>
                <w:sz w:val="16"/>
                <w:szCs w:val="16"/>
              </w:rPr>
              <w:t>Interdyscyplinarne Warsztaty Edukacyjne „Ku przyszłości”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b/>
                <w:bCs/>
                <w:color w:val="000000" w:themeColor="text1"/>
                <w:sz w:val="16"/>
                <w:szCs w:val="16"/>
              </w:rPr>
            </w:pPr>
            <w:r w:rsidRPr="00C613D1">
              <w:rPr>
                <w:rFonts w:ascii="Garamond" w:hAnsi="Garamond" w:cs="Arial"/>
                <w:color w:val="000000" w:themeColor="text1"/>
                <w:sz w:val="16"/>
                <w:szCs w:val="16"/>
              </w:rPr>
              <w:t>Lider: Towarzystwo Promocji Ryb wraz z Partnerami: Gmina Bartniczka, Gmina Brodnica, Gmina Brzozie, Miasto i Gmina Górzno, Miasto i Gmina Jabłonowo Pomorskie, Gmina Osiek, Gmina Świedziebnia, Gmina Zbiczno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B60F98"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1 979 952,00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D94E5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1 682 959,20</w:t>
            </w:r>
          </w:p>
          <w:p w:rsidR="00021742" w:rsidRPr="00C613D1" w:rsidRDefault="00021742" w:rsidP="00021742">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21742" w:rsidRPr="00C613D1" w:rsidRDefault="00021742" w:rsidP="00021742">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98 997,60</w:t>
            </w:r>
          </w:p>
          <w:p w:rsidR="000326FF" w:rsidRPr="00C613D1" w:rsidRDefault="00021742"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21742" w:rsidP="00324C7B">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197 995,20</w:t>
            </w:r>
          </w:p>
          <w:p w:rsidR="00021742" w:rsidRPr="00C613D1" w:rsidRDefault="00021742" w:rsidP="00324C7B">
            <w:pPr>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3 600 osób</w:t>
            </w:r>
          </w:p>
          <w:p w:rsidR="000326FF" w:rsidRPr="00C613D1" w:rsidRDefault="000326F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3 060 osób</w:t>
            </w:r>
          </w:p>
          <w:p w:rsidR="000326FF" w:rsidRPr="00C613D1" w:rsidRDefault="000326FF" w:rsidP="00324C7B">
            <w:pPr>
              <w:spacing w:before="40" w:after="40" w:line="240" w:lineRule="auto"/>
              <w:jc w:val="both"/>
              <w:rPr>
                <w:rFonts w:ascii="Garamond" w:eastAsia="Times New Roman" w:hAnsi="Garamond" w:cs="Arial"/>
                <w:b/>
                <w:bCs/>
                <w:color w:val="000000" w:themeColor="text1"/>
                <w:sz w:val="16"/>
                <w:szCs w:val="16"/>
              </w:rPr>
            </w:pPr>
          </w:p>
        </w:tc>
      </w:tr>
      <w:tr w:rsidR="00C613D1" w:rsidRPr="00C613D1" w:rsidTr="00324C7B">
        <w:trPr>
          <w:trHeight w:val="20"/>
        </w:trPr>
        <w:tc>
          <w:tcPr>
            <w:tcW w:w="173" w:type="pct"/>
            <w:shd w:val="clear" w:color="auto" w:fill="auto"/>
            <w:noWrap/>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18a</w:t>
            </w:r>
          </w:p>
        </w:tc>
        <w:tc>
          <w:tcPr>
            <w:tcW w:w="754" w:type="pct"/>
            <w:shd w:val="clear" w:color="auto" w:fill="auto"/>
            <w:vAlign w:val="center"/>
          </w:tcPr>
          <w:p w:rsidR="004929DF" w:rsidRPr="00C613D1" w:rsidRDefault="004929DF" w:rsidP="00324C7B">
            <w:pPr>
              <w:spacing w:before="40" w:after="40" w:line="240" w:lineRule="auto"/>
              <w:rPr>
                <w:rFonts w:ascii="Garamond" w:hAnsi="Garamond" w:cs="Arial"/>
                <w:color w:val="000000" w:themeColor="text1"/>
                <w:sz w:val="16"/>
                <w:szCs w:val="16"/>
              </w:rPr>
            </w:pPr>
            <w:r w:rsidRPr="00C613D1">
              <w:rPr>
                <w:rFonts w:ascii="Garamond" w:hAnsi="Garamond" w:cs="Arial"/>
                <w:color w:val="000000" w:themeColor="text1"/>
                <w:sz w:val="16"/>
                <w:szCs w:val="16"/>
              </w:rPr>
              <w:t xml:space="preserve">Warsztaty Edukacyjne dla młodzieży </w:t>
            </w:r>
          </w:p>
        </w:tc>
        <w:tc>
          <w:tcPr>
            <w:tcW w:w="401" w:type="pct"/>
            <w:shd w:val="clear" w:color="auto" w:fill="auto"/>
            <w:vAlign w:val="center"/>
          </w:tcPr>
          <w:p w:rsidR="004929DF" w:rsidRPr="00C613D1" w:rsidRDefault="004929DF" w:rsidP="00324C7B">
            <w:pPr>
              <w:spacing w:before="40" w:after="40" w:line="240" w:lineRule="auto"/>
              <w:jc w:val="center"/>
              <w:rPr>
                <w:rFonts w:ascii="Garamond" w:hAnsi="Garamond" w:cs="Arial"/>
                <w:color w:val="000000" w:themeColor="text1"/>
                <w:sz w:val="16"/>
                <w:szCs w:val="16"/>
              </w:rPr>
            </w:pPr>
            <w:r w:rsidRPr="00C613D1">
              <w:rPr>
                <w:rFonts w:ascii="Garamond" w:hAnsi="Garamond" w:cs="Arial"/>
                <w:color w:val="000000" w:themeColor="text1"/>
                <w:sz w:val="16"/>
                <w:szCs w:val="16"/>
              </w:rPr>
              <w:t>Regionalny Ośrodek Edukacji Ekologicznej w Przysieku sp. z o.o. wraz z partnerem:</w:t>
            </w:r>
          </w:p>
          <w:p w:rsidR="004929DF" w:rsidRPr="00C613D1" w:rsidRDefault="004929DF" w:rsidP="00324C7B">
            <w:pPr>
              <w:spacing w:before="40" w:after="40" w:line="240" w:lineRule="auto"/>
              <w:jc w:val="center"/>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Powiat Brodnicki</w:t>
            </w:r>
          </w:p>
        </w:tc>
        <w:tc>
          <w:tcPr>
            <w:tcW w:w="801" w:type="pct"/>
            <w:shd w:val="clear" w:color="auto" w:fill="auto"/>
            <w:vAlign w:val="center"/>
          </w:tcPr>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lastRenderedPageBreak/>
              <w:t>Niepełne dopasowanie oferty edukacyjnej do potrzeb rynku pracy</w:t>
            </w:r>
          </w:p>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p>
          <w:p w:rsidR="004929DF" w:rsidRPr="00C613D1" w:rsidRDefault="004929DF" w:rsidP="004929D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 xml:space="preserve">Niewystarczająca oferta zajęć pozalekcyjnych dla uczniów oraz kursów i szkoleń podnoszących kwalifikacje nauczycieli w zakresie </w:t>
            </w:r>
            <w:r w:rsidRPr="00C613D1">
              <w:rPr>
                <w:b w:val="0"/>
                <w:color w:val="000000" w:themeColor="text1"/>
                <w:sz w:val="16"/>
                <w:szCs w:val="16"/>
              </w:rPr>
              <w:lastRenderedPageBreak/>
              <w:t>rozwijania kompetencji kluczowych</w:t>
            </w:r>
          </w:p>
        </w:tc>
        <w:tc>
          <w:tcPr>
            <w:tcW w:w="350" w:type="pct"/>
            <w:shd w:val="clear" w:color="auto" w:fill="auto"/>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2018-2019</w:t>
            </w:r>
          </w:p>
        </w:tc>
        <w:tc>
          <w:tcPr>
            <w:tcW w:w="351" w:type="pct"/>
            <w:shd w:val="clear" w:color="auto" w:fill="auto"/>
            <w:vAlign w:val="center"/>
          </w:tcPr>
          <w:p w:rsidR="004929DF" w:rsidRPr="00C613D1" w:rsidRDefault="004929D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tcPr>
          <w:p w:rsidR="004929DF" w:rsidRPr="00C613D1" w:rsidRDefault="004929DF" w:rsidP="00324C7B">
            <w:pPr>
              <w:spacing w:before="40" w:after="40" w:line="240" w:lineRule="auto"/>
              <w:jc w:val="right"/>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270 048,00</w:t>
            </w:r>
          </w:p>
        </w:tc>
        <w:tc>
          <w:tcPr>
            <w:tcW w:w="501" w:type="pct"/>
            <w:shd w:val="clear" w:color="auto" w:fill="auto"/>
            <w:vAlign w:val="center"/>
          </w:tcPr>
          <w:p w:rsidR="004929DF" w:rsidRPr="00C613D1" w:rsidRDefault="004929DF" w:rsidP="004929D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4929DF" w:rsidRPr="00C613D1" w:rsidRDefault="004929DF" w:rsidP="004929DF">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229 540,80</w:t>
            </w:r>
          </w:p>
          <w:p w:rsidR="004929DF" w:rsidRPr="00C613D1" w:rsidRDefault="004929DF" w:rsidP="004929DF">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4929DF" w:rsidRPr="00C613D1" w:rsidRDefault="004929D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13 502,40</w:t>
            </w:r>
          </w:p>
          <w:p w:rsidR="00D94E5F" w:rsidRPr="00C613D1" w:rsidRDefault="00D94E5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D94E5F" w:rsidRPr="00C613D1" w:rsidRDefault="00D94E5F" w:rsidP="004929DF">
            <w:pPr>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27 004,80</w:t>
            </w:r>
          </w:p>
          <w:p w:rsidR="004929DF" w:rsidRPr="00C613D1" w:rsidRDefault="004929DF" w:rsidP="004929DF">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4929DF" w:rsidRPr="00C613D1" w:rsidRDefault="004929D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10i</w:t>
            </w:r>
          </w:p>
        </w:tc>
        <w:tc>
          <w:tcPr>
            <w:tcW w:w="1117" w:type="pct"/>
            <w:shd w:val="clear" w:color="auto" w:fill="auto"/>
            <w:vAlign w:val="center"/>
          </w:tcPr>
          <w:p w:rsidR="004929DF" w:rsidRPr="00C613D1" w:rsidRDefault="004929DF"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objętych wsparciem w zakresie rozwijania </w:t>
            </w:r>
            <w:r w:rsidR="00D105D3" w:rsidRPr="00C613D1">
              <w:rPr>
                <w:rFonts w:ascii="Garamond" w:hAnsi="Garamond"/>
                <w:color w:val="000000" w:themeColor="text1"/>
                <w:sz w:val="16"/>
                <w:szCs w:val="16"/>
              </w:rPr>
              <w:t>kompetencji kluczowych w programie – 300 osób</w:t>
            </w:r>
          </w:p>
          <w:p w:rsidR="00D105D3" w:rsidRPr="00C613D1" w:rsidRDefault="00D105D3" w:rsidP="00324C7B">
            <w:pPr>
              <w:pStyle w:val="Akapitzlist"/>
              <w:numPr>
                <w:ilvl w:val="0"/>
                <w:numId w:val="95"/>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(osoby)- 240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Nowy zawód kluczem do sukcesu</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Centrum Ekonomii Społecznej </w:t>
            </w:r>
            <w:proofErr w:type="spellStart"/>
            <w:r w:rsidRPr="00C613D1">
              <w:rPr>
                <w:rFonts w:ascii="Garamond" w:eastAsia="Times New Roman" w:hAnsi="Garamond" w:cs="Arial"/>
                <w:color w:val="000000" w:themeColor="text1"/>
                <w:sz w:val="16"/>
                <w:szCs w:val="16"/>
              </w:rPr>
              <w:t>Bonum</w:t>
            </w:r>
            <w:proofErr w:type="spellEnd"/>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III kw. 2016-III kw. 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120 000,00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102 000,00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18 000,00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które uzyskają kwalifikacje po opuszczeniu programu – 10 osób </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poszukujących pracy po opuszczeniu programu – 10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5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objętych wsparciem w programie – 10 osób </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niepełnosprawnościami objętych wsparciem w programie –  2 osoby</w:t>
            </w:r>
          </w:p>
          <w:p w:rsidR="000326FF" w:rsidRPr="00C613D1" w:rsidRDefault="000326FF" w:rsidP="00324C7B">
            <w:pPr>
              <w:spacing w:before="40" w:after="40" w:line="240" w:lineRule="auto"/>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21</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STAR – Spersonalizowany Trening  Aktywnego Rozwoju</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Caritas Diecezji Toruńskiej / Brodnickie Centrum Caritas</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450 000,00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89"/>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25 osób </w:t>
            </w:r>
          </w:p>
          <w:p w:rsidR="000326FF" w:rsidRPr="00C613D1" w:rsidRDefault="000326FF" w:rsidP="00324C7B">
            <w:pPr>
              <w:pStyle w:val="Akapitzlist"/>
              <w:numPr>
                <w:ilvl w:val="0"/>
                <w:numId w:val="89"/>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10 osób</w:t>
            </w:r>
          </w:p>
          <w:p w:rsidR="000326FF" w:rsidRPr="00C613D1" w:rsidRDefault="000326FF" w:rsidP="00324C7B">
            <w:pPr>
              <w:pStyle w:val="Akapitzlist"/>
              <w:numPr>
                <w:ilvl w:val="0"/>
                <w:numId w:val="89"/>
              </w:numPr>
              <w:spacing w:after="0" w:line="23" w:lineRule="atLeast"/>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25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22</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Zmieniamy nasze życie na lepsze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Caritas Diecezji Toruńskiej / Brodnickie Centrum Caritas</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Rozwój usług opiekuńczych skierowanych do osób starszych i niepełnosprawnych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Powiat Brodnicki</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750 000,00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112 500,00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0326FF" w:rsidRPr="00C613D1" w:rsidRDefault="000326FF" w:rsidP="00324C7B">
            <w:pPr>
              <w:pStyle w:val="Akapitzlist"/>
              <w:numPr>
                <w:ilvl w:val="0"/>
                <w:numId w:val="74"/>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30 osób </w:t>
            </w:r>
          </w:p>
          <w:p w:rsidR="000326FF" w:rsidRPr="00C613D1" w:rsidRDefault="000326FF" w:rsidP="00324C7B">
            <w:pPr>
              <w:pStyle w:val="Akapitzlist"/>
              <w:numPr>
                <w:ilvl w:val="0"/>
                <w:numId w:val="74"/>
              </w:numPr>
              <w:spacing w:after="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niepełnosprawnych, które uzyskały nowe kompetencje i umiejętności, poprawiające możliwości codziennego funkcjonowania – 30 osób</w:t>
            </w:r>
          </w:p>
          <w:p w:rsidR="000326FF" w:rsidRPr="00C613D1" w:rsidRDefault="000326FF" w:rsidP="00324C7B">
            <w:pPr>
              <w:pStyle w:val="Akapitzlist"/>
              <w:numPr>
                <w:ilvl w:val="0"/>
                <w:numId w:val="74"/>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 niepełnosprawnością objętych wsparciem w programie – 30 osób</w:t>
            </w:r>
            <w:r w:rsidRPr="00C613D1">
              <w:rPr>
                <w:rFonts w:ascii="Garamond" w:eastAsia="Times New Roman" w:hAnsi="Garamond" w:cs="Arial"/>
                <w:color w:val="000000" w:themeColor="text1"/>
                <w:sz w:val="16"/>
                <w:szCs w:val="16"/>
              </w:rPr>
              <w:t xml:space="preserve"> </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Innowacyjna edukacja w Gminie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 xml:space="preserve">Niewystarczająca oferta zajęć pozalekcyjnych dla uczniów oraz kursów i szkoleń podnoszących kwalifikacje nauczycieli w zakresie </w:t>
            </w:r>
            <w:r w:rsidRPr="00C613D1">
              <w:rPr>
                <w:b w:val="0"/>
                <w:color w:val="000000" w:themeColor="text1"/>
                <w:sz w:val="16"/>
                <w:szCs w:val="16"/>
              </w:rPr>
              <w:lastRenderedPageBreak/>
              <w:t>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2016-2019</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750 000,00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37 500,00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75 000,00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F412F0" w:rsidRPr="00C613D1" w:rsidRDefault="00F412F0"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 51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w:t>
            </w:r>
            <w:r w:rsidR="00961013" w:rsidRPr="00C613D1">
              <w:rPr>
                <w:rFonts w:ascii="Garamond" w:eastAsia="Times New Roman" w:hAnsi="Garamond" w:cs="Arial"/>
                <w:color w:val="000000" w:themeColor="text1"/>
                <w:sz w:val="16"/>
                <w:szCs w:val="16"/>
              </w:rPr>
              <w:t>ncje po opuszczeniu programu – 51</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w:t>
            </w:r>
            <w:r w:rsidR="00961013" w:rsidRPr="00C613D1">
              <w:rPr>
                <w:rFonts w:ascii="Garamond" w:eastAsia="Times New Roman" w:hAnsi="Garamond" w:cs="Arial"/>
                <w:color w:val="000000" w:themeColor="text1"/>
                <w:sz w:val="16"/>
                <w:szCs w:val="16"/>
              </w:rPr>
              <w:t>240</w:t>
            </w:r>
            <w:r w:rsidRPr="00C613D1">
              <w:rPr>
                <w:rFonts w:ascii="Garamond" w:eastAsia="Times New Roman" w:hAnsi="Garamond" w:cs="Arial"/>
                <w:color w:val="000000" w:themeColor="text1"/>
                <w:sz w:val="16"/>
                <w:szCs w:val="16"/>
              </w:rPr>
              <w:t xml:space="preserve"> </w:t>
            </w:r>
            <w:r w:rsidRPr="00C613D1">
              <w:rPr>
                <w:rFonts w:ascii="Garamond" w:eastAsia="Times New Roman" w:hAnsi="Garamond" w:cs="Arial"/>
                <w:color w:val="000000" w:themeColor="text1"/>
                <w:sz w:val="16"/>
                <w:szCs w:val="16"/>
              </w:rPr>
              <w:lastRenderedPageBreak/>
              <w:t>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w:t>
            </w:r>
            <w:r w:rsidR="00961013" w:rsidRPr="00C613D1">
              <w:rPr>
                <w:rFonts w:ascii="Garamond" w:eastAsia="Times New Roman" w:hAnsi="Garamond" w:cs="Arial"/>
                <w:color w:val="000000" w:themeColor="text1"/>
                <w:sz w:val="16"/>
                <w:szCs w:val="16"/>
              </w:rPr>
              <w:t>owadzenia zajęć edukacyjnych – 4</w:t>
            </w:r>
            <w:r w:rsidRPr="00C613D1">
              <w:rPr>
                <w:rFonts w:ascii="Garamond" w:eastAsia="Times New Roman" w:hAnsi="Garamond" w:cs="Arial"/>
                <w:color w:val="000000" w:themeColor="text1"/>
                <w:sz w:val="16"/>
                <w:szCs w:val="16"/>
              </w:rPr>
              <w:t xml:space="preserve">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w których pracownie przedmiotowe wykorzystują doposażenie do pr</w:t>
            </w:r>
            <w:r w:rsidR="00961013" w:rsidRPr="00C613D1">
              <w:rPr>
                <w:rFonts w:ascii="Garamond" w:eastAsia="Times New Roman" w:hAnsi="Garamond" w:cs="Arial"/>
                <w:color w:val="000000" w:themeColor="text1"/>
                <w:sz w:val="16"/>
                <w:szCs w:val="16"/>
              </w:rPr>
              <w:t>owadzenia zajęć edukacyjnych – 5</w:t>
            </w:r>
            <w:r w:rsidRPr="00C613D1">
              <w:rPr>
                <w:rFonts w:ascii="Garamond" w:eastAsia="Times New Roman" w:hAnsi="Garamond" w:cs="Arial"/>
                <w:color w:val="000000" w:themeColor="text1"/>
                <w:sz w:val="16"/>
                <w:szCs w:val="16"/>
              </w:rPr>
              <w:t xml:space="preserve"> szt.</w:t>
            </w:r>
          </w:p>
          <w:p w:rsidR="00961013" w:rsidRPr="00C613D1" w:rsidRDefault="00961013"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uzyskali/podnieśli kwalifikacje  w zakresie doradztwa zawodowego – 1 osoba,</w:t>
            </w:r>
          </w:p>
          <w:p w:rsidR="00961013" w:rsidRPr="00C613D1" w:rsidRDefault="00A30D20"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t>
            </w:r>
            <w:r w:rsidR="00961013" w:rsidRPr="00C613D1">
              <w:rPr>
                <w:rFonts w:ascii="Garamond" w:eastAsia="Times New Roman" w:hAnsi="Garamond" w:cs="Arial"/>
                <w:color w:val="000000" w:themeColor="text1"/>
                <w:sz w:val="16"/>
                <w:szCs w:val="16"/>
              </w:rPr>
              <w:t>wek systemu oświaty, które wykorzystują sprzęt niezbędny do pracy z uczniami ze specjalnymi potrzebami edukacyjnymi – 1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w:t>
            </w:r>
            <w:r w:rsidR="00F412F0" w:rsidRPr="00C613D1">
              <w:rPr>
                <w:rFonts w:ascii="Garamond" w:eastAsia="Times New Roman" w:hAnsi="Garamond" w:cs="Arial"/>
                <w:color w:val="000000" w:themeColor="text1"/>
                <w:sz w:val="16"/>
                <w:szCs w:val="16"/>
              </w:rPr>
              <w:t>kresie TIK w programie – 4</w:t>
            </w:r>
            <w:r w:rsidR="00A30D20" w:rsidRPr="00C613D1">
              <w:rPr>
                <w:rFonts w:ascii="Garamond" w:eastAsia="Times New Roman" w:hAnsi="Garamond" w:cs="Arial"/>
                <w:color w:val="000000" w:themeColor="text1"/>
                <w:sz w:val="16"/>
                <w:szCs w:val="16"/>
              </w:rPr>
              <w:t>6</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300 osób</w:t>
            </w:r>
          </w:p>
          <w:p w:rsidR="000326FF"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Edukacyjnych –</w:t>
            </w:r>
            <w:r w:rsidR="00F412F0" w:rsidRPr="00C613D1">
              <w:rPr>
                <w:rFonts w:ascii="Garamond" w:eastAsia="Times New Roman" w:hAnsi="Garamond" w:cs="Arial"/>
                <w:color w:val="000000" w:themeColor="text1"/>
                <w:sz w:val="16"/>
                <w:szCs w:val="16"/>
              </w:rPr>
              <w:t>4</w:t>
            </w:r>
            <w:r w:rsidRPr="00C613D1">
              <w:rPr>
                <w:rFonts w:ascii="Garamond" w:eastAsia="Times New Roman" w:hAnsi="Garamond" w:cs="Arial"/>
                <w:color w:val="000000" w:themeColor="text1"/>
                <w:sz w:val="16"/>
                <w:szCs w:val="16"/>
              </w:rPr>
              <w:t xml:space="preserve"> szt. </w:t>
            </w:r>
          </w:p>
          <w:p w:rsidR="00F412F0" w:rsidRPr="00C613D1" w:rsidRDefault="000326FF"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w:t>
            </w:r>
            <w:r w:rsidR="00F412F0" w:rsidRPr="00C613D1">
              <w:rPr>
                <w:rFonts w:ascii="Garamond" w:eastAsia="Times New Roman" w:hAnsi="Garamond" w:cs="Arial"/>
                <w:color w:val="000000" w:themeColor="text1"/>
                <w:sz w:val="16"/>
                <w:szCs w:val="16"/>
              </w:rPr>
              <w:t>stały doposażone w programie – 5</w:t>
            </w:r>
            <w:r w:rsidRPr="00C613D1">
              <w:rPr>
                <w:rFonts w:ascii="Garamond" w:eastAsia="Times New Roman" w:hAnsi="Garamond" w:cs="Arial"/>
                <w:color w:val="000000" w:themeColor="text1"/>
                <w:sz w:val="16"/>
                <w:szCs w:val="16"/>
              </w:rPr>
              <w:t xml:space="preserve"> </w:t>
            </w:r>
            <w:proofErr w:type="spellStart"/>
            <w:r w:rsidRPr="00C613D1">
              <w:rPr>
                <w:rFonts w:ascii="Garamond" w:eastAsia="Times New Roman" w:hAnsi="Garamond" w:cs="Arial"/>
                <w:color w:val="000000" w:themeColor="text1"/>
                <w:sz w:val="16"/>
                <w:szCs w:val="16"/>
              </w:rPr>
              <w:t>szt</w:t>
            </w:r>
            <w:proofErr w:type="spellEnd"/>
          </w:p>
          <w:p w:rsidR="00961013" w:rsidRPr="00C613D1" w:rsidRDefault="00F412F0"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nauczycieli </w:t>
            </w:r>
            <w:r w:rsidR="00961013" w:rsidRPr="00C613D1">
              <w:rPr>
                <w:rFonts w:ascii="Garamond" w:eastAsia="Times New Roman" w:hAnsi="Garamond" w:cs="Arial"/>
                <w:color w:val="000000" w:themeColor="text1"/>
                <w:sz w:val="16"/>
                <w:szCs w:val="16"/>
              </w:rPr>
              <w:t>objętych wsparciem w zakresie uzyskania/podnoszenia kwalifikacji w zakresie doradztwa zawodowego- 1 osoba</w:t>
            </w:r>
          </w:p>
          <w:p w:rsidR="000326FF" w:rsidRPr="00C613D1" w:rsidRDefault="00961013"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placówek systemu oświaty wyposażonych lub doposażonych w ramach programu  w sprzęt niezbędny do pracy z uczniami ze specjalnymi potrzebami edukacyjnymi oraz uczniami młodszymi – 1 szt.</w:t>
            </w:r>
            <w:r w:rsidR="000326FF" w:rsidRPr="00C613D1">
              <w:rPr>
                <w:rFonts w:ascii="Garamond" w:eastAsia="Times New Roman" w:hAnsi="Garamond" w:cs="Arial"/>
                <w:color w:val="000000" w:themeColor="text1"/>
                <w:sz w:val="16"/>
                <w:szCs w:val="16"/>
              </w:rPr>
              <w:t>.</w:t>
            </w:r>
          </w:p>
          <w:p w:rsidR="00961013" w:rsidRPr="00C613D1" w:rsidRDefault="00961013" w:rsidP="00324C7B">
            <w:pPr>
              <w:pStyle w:val="Akapitzlist"/>
              <w:numPr>
                <w:ilvl w:val="0"/>
                <w:numId w:val="65"/>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ze specjalnymi potrzebami edukacyjnymi i uczniów młodszych objętych pracą indywidualną – 20 osób</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28a</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Zwiększenie liczby miejsc wychowania przedszkolnego w Gminie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 xml:space="preserve">Niewystarczająca oferta zajęć pozalekcyjnych dla uczniów oraz kursów i szkoleń podnoszących kwalifikacje nauczycieli w zakresie rozwijania kompetencji </w:t>
            </w:r>
            <w:r w:rsidRPr="00C613D1">
              <w:rPr>
                <w:b w:val="0"/>
                <w:color w:val="000000" w:themeColor="text1"/>
                <w:sz w:val="16"/>
                <w:szCs w:val="16"/>
              </w:rPr>
              <w:lastRenderedPageBreak/>
              <w:t>kluczowych</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45 000,00</w:t>
            </w: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które funkcjonują 2 lata po uzyskaniu dofinansowania ze środków EFS – 100%</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dzieci objętych w r</w:t>
            </w:r>
            <w:r w:rsidR="00EB5583" w:rsidRPr="00C613D1">
              <w:rPr>
                <w:rFonts w:ascii="Garamond" w:eastAsia="Times New Roman" w:hAnsi="Garamond" w:cs="Arial"/>
                <w:color w:val="000000" w:themeColor="text1"/>
                <w:sz w:val="16"/>
                <w:szCs w:val="16"/>
              </w:rPr>
              <w:t>a</w:t>
            </w:r>
            <w:r w:rsidRPr="00C613D1">
              <w:rPr>
                <w:rFonts w:ascii="Garamond" w:eastAsia="Times New Roman" w:hAnsi="Garamond" w:cs="Arial"/>
                <w:color w:val="000000" w:themeColor="text1"/>
                <w:sz w:val="16"/>
                <w:szCs w:val="16"/>
              </w:rPr>
              <w:t>mach programu dodatkowymi zajęciami zwiększającymi ich szanse edukacyjne w edukacji przedszkolnej – 25 osób</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dofinansowanych w programie- 25 szt.</w:t>
            </w:r>
          </w:p>
          <w:p w:rsidR="000326FF" w:rsidRPr="00C613D1" w:rsidRDefault="000326FF"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Liczba nauczycieli objętych wsparciem w programie – 2 osoby</w:t>
            </w:r>
          </w:p>
          <w:p w:rsidR="00EB5583" w:rsidRPr="00C613D1" w:rsidRDefault="00EB5583" w:rsidP="00324C7B">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programu- 2 osoby,</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28b</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Aktywizacja </w:t>
            </w:r>
            <w:proofErr w:type="spellStart"/>
            <w:r w:rsidRPr="00C613D1">
              <w:rPr>
                <w:rFonts w:ascii="Garamond" w:eastAsia="Times New Roman" w:hAnsi="Garamond" w:cs="Arial"/>
                <w:color w:val="000000" w:themeColor="text1"/>
                <w:sz w:val="16"/>
                <w:szCs w:val="16"/>
              </w:rPr>
              <w:t>społeczno</w:t>
            </w:r>
            <w:proofErr w:type="spellEnd"/>
            <w:r w:rsidRPr="00C613D1">
              <w:rPr>
                <w:rFonts w:ascii="Garamond" w:eastAsia="Times New Roman" w:hAnsi="Garamond" w:cs="Arial"/>
                <w:color w:val="000000" w:themeColor="text1"/>
                <w:sz w:val="16"/>
                <w:szCs w:val="16"/>
              </w:rPr>
              <w:t xml:space="preserve"> zawodowa osób bezrobotnych, zagrożonych wykluczeniem społecznym lub wykluczonych społecznie zamieszkałych na terenie Gminy Bobrowo</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560 000,00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476 000,00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84 000,00</w:t>
            </w: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0326FF" w:rsidRPr="00C613D1" w:rsidRDefault="000326FF" w:rsidP="00324C7B">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kwalifikacje po opuszczeniu programu – 9 osób </w:t>
            </w:r>
          </w:p>
          <w:p w:rsidR="000326FF" w:rsidRPr="00C613D1" w:rsidRDefault="000326FF" w:rsidP="00324C7B">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9 osób</w:t>
            </w:r>
          </w:p>
          <w:p w:rsidR="000326FF" w:rsidRPr="00C613D1" w:rsidRDefault="000326FF" w:rsidP="00324C7B">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12 osób</w:t>
            </w:r>
          </w:p>
          <w:p w:rsidR="000326FF" w:rsidRPr="00C613D1" w:rsidRDefault="000326FF" w:rsidP="00324C7B">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6 osób</w:t>
            </w:r>
          </w:p>
          <w:p w:rsidR="000326FF" w:rsidRPr="00C613D1" w:rsidRDefault="000326FF" w:rsidP="00324C7B">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3 osoby </w:t>
            </w:r>
          </w:p>
          <w:p w:rsidR="000326FF" w:rsidRPr="00C613D1" w:rsidRDefault="000326FF" w:rsidP="00324C7B">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niepełnosprawnością objętych wsparciem w programie – 1 osoba</w:t>
            </w:r>
          </w:p>
        </w:tc>
      </w:tr>
      <w:tr w:rsidR="00C613D1" w:rsidRPr="00C613D1" w:rsidTr="00324C7B">
        <w:trPr>
          <w:trHeight w:val="20"/>
        </w:trPr>
        <w:tc>
          <w:tcPr>
            <w:tcW w:w="173" w:type="pct"/>
            <w:shd w:val="clear" w:color="auto" w:fill="auto"/>
            <w:noWrap/>
            <w:vAlign w:val="center"/>
          </w:tcPr>
          <w:p w:rsidR="000A2BB1" w:rsidRPr="00C613D1" w:rsidRDefault="000A2BB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28c</w:t>
            </w:r>
          </w:p>
        </w:tc>
        <w:tc>
          <w:tcPr>
            <w:tcW w:w="754" w:type="pct"/>
            <w:shd w:val="clear" w:color="auto" w:fill="auto"/>
            <w:vAlign w:val="center"/>
          </w:tcPr>
          <w:p w:rsidR="000A2BB1" w:rsidRPr="00C613D1" w:rsidRDefault="00B93D6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Czas na przedszkole- zwiększenie liczby miejsc wychowania przedszkolnego na terenie gminy Bobrowo</w:t>
            </w:r>
          </w:p>
        </w:tc>
        <w:tc>
          <w:tcPr>
            <w:tcW w:w="401" w:type="pct"/>
            <w:shd w:val="clear" w:color="auto" w:fill="auto"/>
            <w:vAlign w:val="center"/>
          </w:tcPr>
          <w:p w:rsidR="000A2BB1" w:rsidRPr="00C613D1" w:rsidRDefault="009C0B9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B93D6F" w:rsidRPr="00C613D1" w:rsidRDefault="00B93D6F" w:rsidP="00B93D6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B93D6F" w:rsidRPr="00C613D1" w:rsidRDefault="00B93D6F" w:rsidP="00B93D6F">
            <w:pPr>
              <w:pStyle w:val="S1"/>
              <w:numPr>
                <w:ilvl w:val="0"/>
                <w:numId w:val="0"/>
              </w:numPr>
              <w:spacing w:before="40" w:after="40" w:line="240" w:lineRule="auto"/>
              <w:jc w:val="center"/>
              <w:rPr>
                <w:b w:val="0"/>
                <w:color w:val="000000" w:themeColor="text1"/>
                <w:sz w:val="16"/>
                <w:szCs w:val="16"/>
              </w:rPr>
            </w:pPr>
          </w:p>
          <w:p w:rsidR="000A2BB1" w:rsidRPr="00C613D1" w:rsidRDefault="00B93D6F" w:rsidP="00B93D6F">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A2BB1" w:rsidRPr="00C613D1" w:rsidRDefault="00B93D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w:t>
            </w:r>
          </w:p>
        </w:tc>
        <w:tc>
          <w:tcPr>
            <w:tcW w:w="351" w:type="pct"/>
            <w:shd w:val="clear" w:color="auto" w:fill="auto"/>
            <w:vAlign w:val="center"/>
          </w:tcPr>
          <w:p w:rsidR="000A2BB1" w:rsidRPr="00C613D1" w:rsidRDefault="00B93D6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401" w:type="pct"/>
            <w:shd w:val="clear" w:color="auto" w:fill="auto"/>
            <w:noWrap/>
            <w:vAlign w:val="center"/>
          </w:tcPr>
          <w:p w:rsidR="000A2BB1" w:rsidRPr="00C613D1" w:rsidRDefault="002B4AE7"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290 000,00</w:t>
            </w:r>
          </w:p>
        </w:tc>
        <w:tc>
          <w:tcPr>
            <w:tcW w:w="501" w:type="pct"/>
            <w:shd w:val="clear" w:color="auto" w:fill="auto"/>
            <w:vAlign w:val="center"/>
          </w:tcPr>
          <w:p w:rsidR="002B4AE7" w:rsidRPr="00C613D1" w:rsidRDefault="002B4AE7" w:rsidP="002B4AE7">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2B4AE7" w:rsidRPr="00C613D1" w:rsidRDefault="002B4AE7" w:rsidP="002B4AE7">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246 500,00</w:t>
            </w:r>
          </w:p>
          <w:p w:rsidR="002B4AE7" w:rsidRPr="00C613D1" w:rsidRDefault="002B4AE7" w:rsidP="002B4AE7">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A2BB1" w:rsidRPr="00C613D1" w:rsidRDefault="002B4AE7" w:rsidP="002B4AE7">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43 500,00</w:t>
            </w:r>
          </w:p>
        </w:tc>
        <w:tc>
          <w:tcPr>
            <w:tcW w:w="150" w:type="pct"/>
            <w:shd w:val="clear" w:color="auto" w:fill="auto"/>
            <w:vAlign w:val="center"/>
          </w:tcPr>
          <w:p w:rsidR="000A2BB1" w:rsidRPr="00C613D1" w:rsidRDefault="00B93D6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miejsc wychowania przedszkolnego, które funkcjonują 2 lata po uzyskaniu dofinansowania ze środków EFS – 25 </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programu- 2 osoby,</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dzieci objętych w ramach programu dodatkowymi zajęciami zwiększającymi ich szanse edukacyjne w edukacji przedszkolnej – 25 osób</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miejsc wychowania przedszkolnego dofinansowanych w programie- 25 szt.</w:t>
            </w:r>
          </w:p>
          <w:p w:rsidR="002B4AE7" w:rsidRPr="00C613D1" w:rsidRDefault="002B4AE7" w:rsidP="002B4AE7">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TIK w ramach programu  – 2 osoby</w:t>
            </w:r>
          </w:p>
          <w:p w:rsidR="000A2BB1" w:rsidRPr="00C613D1" w:rsidRDefault="002B4AE7" w:rsidP="002B4AE7">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Liczba nauczycieli objętych wsparciem w programie - 2 osoby,</w:t>
            </w:r>
          </w:p>
        </w:tc>
      </w:tr>
      <w:tr w:rsidR="00C613D1" w:rsidRPr="00C613D1" w:rsidTr="00324C7B">
        <w:trPr>
          <w:trHeight w:val="20"/>
        </w:trPr>
        <w:tc>
          <w:tcPr>
            <w:tcW w:w="173" w:type="pct"/>
            <w:shd w:val="clear" w:color="auto" w:fill="auto"/>
            <w:noWrap/>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28e</w:t>
            </w:r>
          </w:p>
        </w:tc>
        <w:tc>
          <w:tcPr>
            <w:tcW w:w="754" w:type="pct"/>
            <w:shd w:val="clear" w:color="auto" w:fill="auto"/>
            <w:vAlign w:val="center"/>
          </w:tcPr>
          <w:p w:rsidR="00F42BFC" w:rsidRPr="00C613D1" w:rsidRDefault="00F42BFC" w:rsidP="00F42BFC">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„Razem łatwiej”- rewitalizacja społeczna w gminie Bobrowo</w:t>
            </w:r>
          </w:p>
        </w:tc>
        <w:tc>
          <w:tcPr>
            <w:tcW w:w="401" w:type="pct"/>
            <w:shd w:val="clear" w:color="auto" w:fill="auto"/>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801" w:type="pct"/>
            <w:shd w:val="clear" w:color="auto" w:fill="auto"/>
            <w:vAlign w:val="center"/>
          </w:tcPr>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 xml:space="preserve">Wzmocnienie integracji społecznej i dostosowanie </w:t>
            </w:r>
            <w:r w:rsidRPr="00C613D1">
              <w:rPr>
                <w:b w:val="0"/>
                <w:color w:val="000000" w:themeColor="text1"/>
                <w:sz w:val="16"/>
                <w:szCs w:val="16"/>
              </w:rPr>
              <w:lastRenderedPageBreak/>
              <w:t>systemu opieki zdrowotnej do sytuacji demograficznej</w:t>
            </w:r>
          </w:p>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p>
          <w:p w:rsidR="00F42BFC" w:rsidRPr="00C613D1" w:rsidRDefault="00F42BFC" w:rsidP="00F42BFC">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F42BFC" w:rsidRPr="00C613D1" w:rsidRDefault="00F42BFC"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Gmina Bobrowo</w:t>
            </w:r>
          </w:p>
        </w:tc>
        <w:tc>
          <w:tcPr>
            <w:tcW w:w="351" w:type="pct"/>
            <w:shd w:val="clear" w:color="auto" w:fill="auto"/>
            <w:vAlign w:val="center"/>
          </w:tcPr>
          <w:p w:rsidR="00F42BFC" w:rsidRPr="00C613D1" w:rsidRDefault="00F71759"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w:t>
            </w:r>
          </w:p>
        </w:tc>
        <w:tc>
          <w:tcPr>
            <w:tcW w:w="401" w:type="pct"/>
            <w:shd w:val="clear" w:color="auto" w:fill="auto"/>
            <w:noWrap/>
            <w:vAlign w:val="center"/>
          </w:tcPr>
          <w:p w:rsidR="00F42BFC" w:rsidRPr="00C613D1" w:rsidRDefault="00DB1F7B"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w:t>
            </w:r>
            <w:r w:rsidR="00F71759" w:rsidRPr="00C613D1">
              <w:rPr>
                <w:rFonts w:ascii="Garamond" w:eastAsia="Times New Roman" w:hAnsi="Garamond" w:cs="Arial"/>
                <w:color w:val="000000" w:themeColor="text1"/>
                <w:sz w:val="16"/>
                <w:szCs w:val="16"/>
              </w:rPr>
              <w:t>0 000,00</w:t>
            </w:r>
          </w:p>
        </w:tc>
        <w:tc>
          <w:tcPr>
            <w:tcW w:w="501" w:type="pct"/>
            <w:shd w:val="clear" w:color="auto" w:fill="auto"/>
            <w:vAlign w:val="center"/>
          </w:tcPr>
          <w:p w:rsidR="00F71759" w:rsidRPr="00C613D1" w:rsidRDefault="00F71759" w:rsidP="00F71759">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F71759" w:rsidRPr="00C613D1" w:rsidRDefault="00DB1F7B" w:rsidP="00F71759">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85 000</w:t>
            </w:r>
            <w:r w:rsidR="00F71759" w:rsidRPr="00C613D1">
              <w:rPr>
                <w:rFonts w:ascii="Garamond" w:eastAsia="Times New Roman" w:hAnsi="Garamond" w:cs="Arial"/>
                <w:bCs/>
                <w:color w:val="000000" w:themeColor="text1"/>
                <w:sz w:val="16"/>
                <w:szCs w:val="16"/>
              </w:rPr>
              <w:t>,00</w:t>
            </w:r>
          </w:p>
          <w:p w:rsidR="00F71759" w:rsidRPr="00C613D1" w:rsidRDefault="00F71759" w:rsidP="00F71759">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Środki własne</w:t>
            </w:r>
          </w:p>
          <w:p w:rsidR="00F42BFC" w:rsidRPr="00C613D1" w:rsidRDefault="00DB1F7B" w:rsidP="00F71759">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15 000,</w:t>
            </w:r>
            <w:r w:rsidR="00F71759" w:rsidRPr="00C613D1">
              <w:rPr>
                <w:rFonts w:ascii="Garamond" w:eastAsia="Times New Roman" w:hAnsi="Garamond" w:cs="Arial"/>
                <w:bCs/>
                <w:color w:val="000000" w:themeColor="text1"/>
                <w:sz w:val="16"/>
                <w:szCs w:val="16"/>
              </w:rPr>
              <w:t>00</w:t>
            </w:r>
          </w:p>
        </w:tc>
        <w:tc>
          <w:tcPr>
            <w:tcW w:w="150" w:type="pct"/>
            <w:shd w:val="clear" w:color="auto" w:fill="auto"/>
            <w:vAlign w:val="center"/>
          </w:tcPr>
          <w:p w:rsidR="00F42BFC" w:rsidRPr="00C613D1" w:rsidRDefault="00AD0FD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9i</w:t>
            </w:r>
          </w:p>
        </w:tc>
        <w:tc>
          <w:tcPr>
            <w:tcW w:w="1117" w:type="pct"/>
            <w:shd w:val="clear" w:color="auto" w:fill="auto"/>
            <w:vAlign w:val="center"/>
          </w:tcPr>
          <w:p w:rsidR="00F71759" w:rsidRPr="00C613D1" w:rsidRDefault="00F71759" w:rsidP="00F71759">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osób zagrożonych ubóstwem lub wykluczeniem społecznym, które uzyskały </w:t>
            </w:r>
            <w:r w:rsidRPr="00C613D1">
              <w:rPr>
                <w:rFonts w:ascii="Garamond" w:hAnsi="Garamond"/>
                <w:color w:val="000000" w:themeColor="text1"/>
                <w:sz w:val="16"/>
                <w:szCs w:val="16"/>
              </w:rPr>
              <w:lastRenderedPageBreak/>
              <w:t xml:space="preserve">kwalifikacje po opuszczeniu programu – 20 osób </w:t>
            </w:r>
          </w:p>
          <w:p w:rsidR="00F71759" w:rsidRPr="00C613D1" w:rsidRDefault="00F71759" w:rsidP="00F71759">
            <w:pPr>
              <w:pStyle w:val="Akapitzlist"/>
              <w:numPr>
                <w:ilvl w:val="0"/>
                <w:numId w:val="64"/>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poszukujących pracy po opuszczeniu programu – 10 osób</w:t>
            </w:r>
          </w:p>
          <w:p w:rsidR="00F71759" w:rsidRPr="00C613D1" w:rsidRDefault="00F71759" w:rsidP="00F71759">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własny rachunek) – 1 osoba</w:t>
            </w:r>
          </w:p>
          <w:p w:rsidR="00F71759" w:rsidRPr="00C613D1" w:rsidRDefault="00F71759" w:rsidP="00F71759">
            <w:pPr>
              <w:pStyle w:val="Akapitzlist"/>
              <w:numPr>
                <w:ilvl w:val="0"/>
                <w:numId w:val="64"/>
              </w:numPr>
              <w:spacing w:before="40" w:after="40" w:line="240" w:lineRule="auto"/>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2 osoby </w:t>
            </w:r>
          </w:p>
          <w:p w:rsidR="00F71759" w:rsidRPr="00C613D1" w:rsidRDefault="00F71759" w:rsidP="00F71759">
            <w:pPr>
              <w:pStyle w:val="Akapitzlist"/>
              <w:numPr>
                <w:ilvl w:val="0"/>
                <w:numId w:val="64"/>
              </w:numPr>
              <w:spacing w:after="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osób zagrożonych ubóstwem lub wykluczeniem społecznym objętych wsparciem w programie – 20 osób</w:t>
            </w:r>
          </w:p>
          <w:p w:rsidR="00F71759" w:rsidRPr="00C613D1" w:rsidRDefault="00F71759" w:rsidP="00F71759">
            <w:pPr>
              <w:pStyle w:val="Akapitzlist"/>
              <w:spacing w:before="40" w:after="40" w:line="240" w:lineRule="auto"/>
              <w:ind w:left="360"/>
              <w:jc w:val="both"/>
              <w:rPr>
                <w:rFonts w:ascii="Garamond" w:eastAsia="Times New Roman" w:hAnsi="Garamond" w:cs="Arial"/>
                <w:color w:val="000000" w:themeColor="text1"/>
                <w:sz w:val="16"/>
                <w:szCs w:val="16"/>
              </w:rPr>
            </w:pPr>
          </w:p>
          <w:p w:rsidR="00F42BFC" w:rsidRPr="00C613D1" w:rsidRDefault="00F71759" w:rsidP="00F71759">
            <w:pPr>
              <w:pStyle w:val="Akapitzlist"/>
              <w:numPr>
                <w:ilvl w:val="0"/>
                <w:numId w:val="64"/>
              </w:numPr>
              <w:spacing w:after="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 niepełnosprawnością objętych wsparciem w programie – 2 osoba</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29</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Przygotowuję się do dorosłego życia</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08.2016-07.2018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hideMark/>
          </w:tcPr>
          <w:p w:rsidR="000326FF" w:rsidRPr="00C613D1" w:rsidRDefault="00B7399A"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598 166,60</w:t>
            </w:r>
            <w:r w:rsidR="000326FF" w:rsidRPr="00C613D1">
              <w:rPr>
                <w:rFonts w:ascii="Garamond" w:eastAsia="Times New Roman" w:hAnsi="Garamond" w:cs="Arial"/>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508 441,61</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7399A"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30 371,50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59 353,49</w:t>
            </w:r>
          </w:p>
          <w:p w:rsidR="000326FF" w:rsidRPr="00C613D1" w:rsidRDefault="000326FF" w:rsidP="00B7399A">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objętych projektem – 4</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250 osób</w:t>
            </w:r>
          </w:p>
          <w:p w:rsidR="000326FF" w:rsidRPr="00C613D1" w:rsidRDefault="000326FF" w:rsidP="00E01556">
            <w:pPr>
              <w:pStyle w:val="Akapitzlist"/>
              <w:spacing w:before="40" w:after="40" w:line="240" w:lineRule="auto"/>
              <w:ind w:left="170"/>
              <w:jc w:val="both"/>
              <w:rPr>
                <w:rFonts w:ascii="Garamond" w:eastAsia="Times New Roman" w:hAnsi="Garamond" w:cs="Arial"/>
                <w:color w:val="000000" w:themeColor="text1"/>
                <w:sz w:val="16"/>
                <w:szCs w:val="16"/>
              </w:rPr>
            </w:pPr>
          </w:p>
          <w:p w:rsidR="000326FF" w:rsidRPr="00C613D1" w:rsidRDefault="000326FF"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w programi</w:t>
            </w:r>
            <w:r w:rsidR="00E440F5" w:rsidRPr="00C613D1">
              <w:rPr>
                <w:rFonts w:ascii="Garamond" w:eastAsia="Times New Roman" w:hAnsi="Garamond" w:cs="Arial"/>
                <w:color w:val="000000" w:themeColor="text1"/>
                <w:sz w:val="16"/>
                <w:szCs w:val="16"/>
              </w:rPr>
              <w:t xml:space="preserve">e </w:t>
            </w:r>
            <w:r w:rsidRPr="00C613D1">
              <w:rPr>
                <w:rFonts w:ascii="Garamond" w:eastAsia="Times New Roman" w:hAnsi="Garamond" w:cs="Arial"/>
                <w:color w:val="000000" w:themeColor="text1"/>
                <w:sz w:val="16"/>
                <w:szCs w:val="16"/>
              </w:rPr>
              <w:t xml:space="preserve"> - 20</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z zakresu TIK w programie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 których pracownie  przedmiotowe zostały doposażone w programie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i placówek systemu oświaty wyposażonych lub doposażonych w ramach programu w sprzęt niezbędny do pracy z uczniami ze specjalnymi potrzebami edukacyjnymi oraz uczniami młodszymi – 4</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zagrożonych przedwczesnym opuszczeniem systemu oświaty objętych wsparciem w programie – 146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objętych wsparciem w ramach doradztwa zawodowego – 67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lastRenderedPageBreak/>
              <w:t>Liczba uczniów objętych wsparciem w zakresie rozwijania kompetencji cyfrowych – 30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którzy uzyskali kwalifikacje lub nabyli kompetencje po opuszczeniu programu- 18 osób,</w:t>
            </w:r>
          </w:p>
          <w:p w:rsidR="00E440F5" w:rsidRPr="00C613D1" w:rsidRDefault="00E440F5"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 xml:space="preserve">Liczba uczniów, którzy </w:t>
            </w:r>
            <w:r w:rsidR="00E01556" w:rsidRPr="00C613D1">
              <w:rPr>
                <w:rFonts w:ascii="Garamond" w:eastAsia="Times New Roman" w:hAnsi="Garamond" w:cs="Arial"/>
                <w:color w:val="000000" w:themeColor="text1"/>
                <w:sz w:val="16"/>
                <w:szCs w:val="16"/>
              </w:rPr>
              <w:t xml:space="preserve">nabyli kompetencje kluczowe po opuszczeniu programu – 226 </w:t>
            </w:r>
            <w:proofErr w:type="spellStart"/>
            <w:r w:rsidR="00E01556" w:rsidRPr="00C613D1">
              <w:rPr>
                <w:rFonts w:ascii="Garamond" w:eastAsia="Times New Roman" w:hAnsi="Garamond" w:cs="Arial"/>
                <w:color w:val="000000" w:themeColor="text1"/>
                <w:sz w:val="16"/>
                <w:szCs w:val="16"/>
              </w:rPr>
              <w:t>osob</w:t>
            </w:r>
            <w:proofErr w:type="spellEnd"/>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szkół w których pracownie przedmiotowe wykorzystują doposażenie do prowadzenia zajęć edukacyjnych – 4 szt.</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 xml:space="preserve">Liczba szkół i </w:t>
            </w:r>
            <w:proofErr w:type="spellStart"/>
            <w:r w:rsidRPr="00C613D1">
              <w:rPr>
                <w:rFonts w:ascii="Garamond" w:eastAsia="Times New Roman" w:hAnsi="Garamond" w:cs="Arial"/>
                <w:color w:val="000000" w:themeColor="text1"/>
                <w:sz w:val="16"/>
                <w:szCs w:val="16"/>
              </w:rPr>
              <w:t>placowek</w:t>
            </w:r>
            <w:proofErr w:type="spellEnd"/>
            <w:r w:rsidRPr="00C613D1">
              <w:rPr>
                <w:rFonts w:ascii="Garamond" w:eastAsia="Times New Roman" w:hAnsi="Garamond" w:cs="Arial"/>
                <w:color w:val="000000" w:themeColor="text1"/>
                <w:sz w:val="16"/>
                <w:szCs w:val="16"/>
              </w:rPr>
              <w:t xml:space="preserve"> systemu oświaty, które wykorzystują sprzęt niezbędny do pracy z uczniami ze specjalnymi potrzebami zdrowotnymi – 4 szt.</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uczniów u których nastąpił wzrost wiedzy na temat własnej ścieżki edukacyjno-</w:t>
            </w:r>
            <w:proofErr w:type="spellStart"/>
            <w:r w:rsidRPr="00C613D1">
              <w:rPr>
                <w:rFonts w:ascii="Garamond" w:eastAsia="Times New Roman" w:hAnsi="Garamond" w:cs="Arial"/>
                <w:color w:val="000000" w:themeColor="text1"/>
                <w:sz w:val="16"/>
                <w:szCs w:val="16"/>
              </w:rPr>
              <w:t>zwodowej</w:t>
            </w:r>
            <w:proofErr w:type="spellEnd"/>
            <w:r w:rsidRPr="00C613D1">
              <w:rPr>
                <w:rFonts w:ascii="Garamond" w:eastAsia="Times New Roman" w:hAnsi="Garamond" w:cs="Arial"/>
                <w:color w:val="000000" w:themeColor="text1"/>
                <w:sz w:val="16"/>
                <w:szCs w:val="16"/>
              </w:rPr>
              <w:t xml:space="preserve"> – 67 osób</w:t>
            </w:r>
          </w:p>
          <w:p w:rsidR="00E01556" w:rsidRPr="00C613D1" w:rsidRDefault="00E01556"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 xml:space="preserve">Liczba uczniów, którzy nabyli kompetencje cyfrowe po opuszczeniu programu – 28 osób. </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 </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29a</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„Region Nauk Ścisłych II – edukacja  przyszłości”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Urząd Marszałkowski, Departament Edukacji/</w:t>
            </w: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25 000,00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50 000,00</w:t>
            </w: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objętych projektem – 1</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w zakresie rozwijania kompetencji kluczowych w programie – 200 osób</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którzy nabyli kompetencje kluczowe po opuszczeniu programu – 160</w:t>
            </w:r>
          </w:p>
          <w:p w:rsidR="000326FF" w:rsidRPr="00C613D1" w:rsidRDefault="000326FF" w:rsidP="00324C7B">
            <w:pPr>
              <w:pStyle w:val="Akapitzlist"/>
              <w:numPr>
                <w:ilvl w:val="0"/>
                <w:numId w:val="67"/>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edukacyjnych - 1</w:t>
            </w:r>
          </w:p>
          <w:p w:rsidR="000326FF" w:rsidRPr="00C613D1" w:rsidRDefault="000326FF" w:rsidP="00324C7B">
            <w:pPr>
              <w:pStyle w:val="Akapitzlist"/>
              <w:numPr>
                <w:ilvl w:val="0"/>
                <w:numId w:val="67"/>
              </w:numPr>
              <w:spacing w:before="40" w:after="40"/>
              <w:ind w:left="170" w:hanging="170"/>
              <w:jc w:val="both"/>
              <w:rPr>
                <w:rFonts w:ascii="Garamond" w:eastAsia="Times New Roman" w:hAnsi="Garamond" w:cs="Arial"/>
                <w:color w:val="000000" w:themeColor="text1"/>
                <w:szCs w:val="16"/>
              </w:rPr>
            </w:pPr>
            <w:r w:rsidRPr="00C613D1">
              <w:rPr>
                <w:rFonts w:ascii="Garamond" w:eastAsia="Times New Roman" w:hAnsi="Garamond" w:cs="Arial"/>
                <w:color w:val="000000" w:themeColor="text1"/>
                <w:sz w:val="16"/>
                <w:szCs w:val="16"/>
              </w:rPr>
              <w:t>Liczba nauczycieli objętych wsparciem w programie (podniesienie kompetencji) - 11</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30</w:t>
            </w:r>
          </w:p>
        </w:tc>
        <w:tc>
          <w:tcPr>
            <w:tcW w:w="754" w:type="pct"/>
            <w:shd w:val="clear" w:color="auto" w:fill="auto"/>
            <w:vAlign w:val="center"/>
          </w:tcPr>
          <w:p w:rsidR="000326FF"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Włączenie społeczne mieszkańców Gminy Miasta Brodnica </w:t>
            </w:r>
            <w:proofErr w:type="spellStart"/>
            <w:r w:rsidRPr="00C613D1">
              <w:rPr>
                <w:rFonts w:ascii="Garamond" w:eastAsia="Times New Roman" w:hAnsi="Garamond" w:cs="Arial"/>
                <w:color w:val="000000" w:themeColor="text1"/>
                <w:sz w:val="16"/>
                <w:szCs w:val="16"/>
              </w:rPr>
              <w:t>cz.I</w:t>
            </w:r>
            <w:proofErr w:type="spellEnd"/>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hideMark/>
          </w:tcPr>
          <w:p w:rsidR="000326FF"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2020-2021</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hideMark/>
          </w:tcPr>
          <w:p w:rsidR="000326FF" w:rsidRPr="00C613D1" w:rsidRDefault="00426113"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4261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426113"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hideMark/>
          </w:tcPr>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objętych wsparciem w programie – 40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społecznym – 40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zawodowym – 20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 xml:space="preserve">Liczba osób zagrożonych ubóstwem lub </w:t>
            </w:r>
            <w:r w:rsidRPr="00C613D1">
              <w:rPr>
                <w:rFonts w:ascii="Garamond" w:hAnsi="Garamond" w:cs="Arial"/>
                <w:color w:val="000000" w:themeColor="text1"/>
                <w:sz w:val="16"/>
                <w:szCs w:val="16"/>
              </w:rPr>
              <w:lastRenderedPageBreak/>
              <w:t>wykluczeniem społecznym poszukujących pracy po opuszczeniu programu – 16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pracujących po opuszczeniu programu(łącznie z pracującymi na własny rachunek) – 8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 xml:space="preserve">Liczba osób </w:t>
            </w:r>
            <w:proofErr w:type="spellStart"/>
            <w:r w:rsidRPr="00C613D1">
              <w:rPr>
                <w:rFonts w:ascii="Garamond" w:hAnsi="Garamond" w:cs="Arial"/>
                <w:color w:val="000000" w:themeColor="text1"/>
                <w:sz w:val="16"/>
                <w:szCs w:val="16"/>
              </w:rPr>
              <w:t>zagrozonych</w:t>
            </w:r>
            <w:proofErr w:type="spellEnd"/>
            <w:r w:rsidRPr="00C613D1">
              <w:rPr>
                <w:rFonts w:ascii="Garamond" w:hAnsi="Garamond" w:cs="Arial"/>
                <w:color w:val="000000" w:themeColor="text1"/>
                <w:sz w:val="16"/>
                <w:szCs w:val="16"/>
              </w:rPr>
              <w:t xml:space="preserve"> ubóstwem lub wykluczeniem społecznym, które uzyskały kompetencje po opuszczeniu programu – 30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społecznej – 15 osób</w:t>
            </w:r>
          </w:p>
          <w:p w:rsidR="00426113" w:rsidRPr="00C613D1" w:rsidRDefault="00426113" w:rsidP="00324C7B">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zatrudnieniowej – 8 osób.</w:t>
            </w:r>
          </w:p>
          <w:p w:rsidR="000326FF" w:rsidRPr="00C613D1" w:rsidRDefault="000326FF" w:rsidP="00426113">
            <w:pPr>
              <w:pStyle w:val="Akapitzlist"/>
              <w:snapToGrid w:val="0"/>
              <w:spacing w:after="0" w:line="100" w:lineRule="atLeast"/>
              <w:ind w:left="170"/>
              <w:jc w:val="both"/>
              <w:rPr>
                <w:rFonts w:ascii="Garamond" w:eastAsiaTheme="minorHAnsi"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 xml:space="preserve">30a </w:t>
            </w:r>
          </w:p>
        </w:tc>
        <w:tc>
          <w:tcPr>
            <w:tcW w:w="754" w:type="pct"/>
            <w:shd w:val="clear" w:color="auto" w:fill="auto"/>
            <w:vAlign w:val="center"/>
          </w:tcPr>
          <w:p w:rsidR="00426113"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Włączenie społeczne mieszkańców Gminy Miasta Brodnica </w:t>
            </w:r>
            <w:proofErr w:type="spellStart"/>
            <w:r w:rsidRPr="00C613D1">
              <w:rPr>
                <w:rFonts w:ascii="Garamond" w:eastAsia="Times New Roman" w:hAnsi="Garamond" w:cs="Arial"/>
                <w:color w:val="000000" w:themeColor="text1"/>
                <w:sz w:val="16"/>
                <w:szCs w:val="16"/>
              </w:rPr>
              <w:t>cz.II</w:t>
            </w:r>
            <w:proofErr w:type="spellEnd"/>
          </w:p>
        </w:tc>
        <w:tc>
          <w:tcPr>
            <w:tcW w:w="401" w:type="pct"/>
            <w:shd w:val="clear" w:color="auto" w:fill="auto"/>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801" w:type="pct"/>
            <w:shd w:val="clear" w:color="auto" w:fill="auto"/>
            <w:vAlign w:val="center"/>
          </w:tcPr>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p>
          <w:p w:rsidR="00426113" w:rsidRPr="00C613D1" w:rsidRDefault="00426113" w:rsidP="00426113">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Przeciwdziałanie wykluczeniu społecznemu i ubóstwu</w:t>
            </w:r>
          </w:p>
        </w:tc>
        <w:tc>
          <w:tcPr>
            <w:tcW w:w="350" w:type="pct"/>
            <w:shd w:val="clear" w:color="auto" w:fill="auto"/>
            <w:vAlign w:val="center"/>
          </w:tcPr>
          <w:p w:rsidR="00426113" w:rsidRPr="00C613D1" w:rsidRDefault="0042611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2022-2023</w:t>
            </w:r>
          </w:p>
        </w:tc>
        <w:tc>
          <w:tcPr>
            <w:tcW w:w="351" w:type="pct"/>
            <w:shd w:val="clear" w:color="auto" w:fill="auto"/>
            <w:vAlign w:val="center"/>
          </w:tcPr>
          <w:p w:rsidR="00426113" w:rsidRPr="00C613D1" w:rsidRDefault="00426113"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Miasta Brodnica</w:t>
            </w:r>
          </w:p>
        </w:tc>
        <w:tc>
          <w:tcPr>
            <w:tcW w:w="401" w:type="pct"/>
            <w:shd w:val="clear" w:color="auto" w:fill="auto"/>
            <w:noWrap/>
            <w:vAlign w:val="center"/>
          </w:tcPr>
          <w:p w:rsidR="00426113" w:rsidRPr="00C613D1" w:rsidRDefault="00426113"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450 000,00</w:t>
            </w:r>
          </w:p>
        </w:tc>
        <w:tc>
          <w:tcPr>
            <w:tcW w:w="501" w:type="pct"/>
            <w:shd w:val="clear" w:color="auto" w:fill="auto"/>
            <w:vAlign w:val="center"/>
          </w:tcPr>
          <w:p w:rsidR="00AD0FD0"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AD0FD0" w:rsidRPr="00C613D1" w:rsidRDefault="00AD0FD0" w:rsidP="00AD0FD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382 500,00</w:t>
            </w:r>
          </w:p>
          <w:p w:rsidR="00AD0FD0"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426113" w:rsidRPr="00C613D1" w:rsidRDefault="00AD0FD0" w:rsidP="00AD0FD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67 500,00</w:t>
            </w:r>
          </w:p>
        </w:tc>
        <w:tc>
          <w:tcPr>
            <w:tcW w:w="150" w:type="pct"/>
            <w:shd w:val="clear" w:color="auto" w:fill="auto"/>
            <w:vAlign w:val="center"/>
          </w:tcPr>
          <w:p w:rsidR="00426113" w:rsidRPr="00C613D1" w:rsidRDefault="00EE36B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9i</w:t>
            </w:r>
          </w:p>
        </w:tc>
        <w:tc>
          <w:tcPr>
            <w:tcW w:w="1117" w:type="pct"/>
            <w:shd w:val="clear" w:color="auto" w:fill="auto"/>
            <w:vAlign w:val="center"/>
          </w:tcPr>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objętych wsparciem w programie – 40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społecznym – 40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objętych usługą o charakterze zawodowym – 20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poszukujących pracy po opuszczeniu programu – 16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Liczba osób zagrożonych ubóstwem lub wykluczeniem społecznym pracujących po opuszczeniu programu(łącznie z pracującymi na własny rachunek) – 8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 xml:space="preserve">Liczba osób </w:t>
            </w:r>
            <w:proofErr w:type="spellStart"/>
            <w:r w:rsidRPr="00C613D1">
              <w:rPr>
                <w:rFonts w:ascii="Garamond" w:hAnsi="Garamond" w:cs="Arial"/>
                <w:color w:val="000000" w:themeColor="text1"/>
                <w:sz w:val="16"/>
                <w:szCs w:val="16"/>
              </w:rPr>
              <w:t>zagrozonych</w:t>
            </w:r>
            <w:proofErr w:type="spellEnd"/>
            <w:r w:rsidRPr="00C613D1">
              <w:rPr>
                <w:rFonts w:ascii="Garamond" w:hAnsi="Garamond" w:cs="Arial"/>
                <w:color w:val="000000" w:themeColor="text1"/>
                <w:sz w:val="16"/>
                <w:szCs w:val="16"/>
              </w:rPr>
              <w:t xml:space="preserve"> ubóstwem lub wykluczeniem społecznym, które uzyskały kompetencje po opuszczeniu programu – 30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społecznej – 15 osób</w:t>
            </w:r>
          </w:p>
          <w:p w:rsidR="00AD0FD0" w:rsidRPr="00C613D1" w:rsidRDefault="00AD0FD0" w:rsidP="00AD0FD0">
            <w:pPr>
              <w:pStyle w:val="Akapitzlist"/>
              <w:numPr>
                <w:ilvl w:val="0"/>
                <w:numId w:val="87"/>
              </w:numPr>
              <w:snapToGrid w:val="0"/>
              <w:spacing w:after="0" w:line="100" w:lineRule="atLeast"/>
              <w:ind w:left="170" w:hanging="170"/>
              <w:jc w:val="both"/>
              <w:rPr>
                <w:rFonts w:ascii="Garamond" w:eastAsiaTheme="minorHAnsi" w:hAnsi="Garamond" w:cs="Arial"/>
                <w:color w:val="000000" w:themeColor="text1"/>
                <w:sz w:val="16"/>
                <w:szCs w:val="16"/>
              </w:rPr>
            </w:pPr>
            <w:r w:rsidRPr="00C613D1">
              <w:rPr>
                <w:rFonts w:ascii="Garamond" w:hAnsi="Garamond" w:cs="Arial"/>
                <w:color w:val="000000" w:themeColor="text1"/>
                <w:sz w:val="16"/>
                <w:szCs w:val="16"/>
              </w:rPr>
              <w:t>Wskaźnik efektywności zatrudnieniowej – 8 osób.</w:t>
            </w:r>
          </w:p>
          <w:p w:rsidR="00426113" w:rsidRPr="00C613D1" w:rsidRDefault="00426113" w:rsidP="00AD0FD0">
            <w:pPr>
              <w:pStyle w:val="Akapitzlist"/>
              <w:snapToGrid w:val="0"/>
              <w:spacing w:after="0" w:line="100" w:lineRule="atLeast"/>
              <w:ind w:left="170"/>
              <w:jc w:val="both"/>
              <w:rPr>
                <w:rFonts w:ascii="Garamond"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32</w:t>
            </w:r>
          </w:p>
        </w:tc>
        <w:tc>
          <w:tcPr>
            <w:tcW w:w="754" w:type="pct"/>
            <w:shd w:val="clear" w:color="auto" w:fill="auto"/>
            <w:vAlign w:val="center"/>
          </w:tcPr>
          <w:p w:rsidR="000326FF" w:rsidRPr="00C613D1" w:rsidRDefault="000326FF" w:rsidP="00324C7B">
            <w:pPr>
              <w:rPr>
                <w:rFonts w:ascii="Garamond" w:hAnsi="Garamond"/>
                <w:color w:val="000000" w:themeColor="text1"/>
                <w:sz w:val="16"/>
                <w:szCs w:val="16"/>
              </w:rPr>
            </w:pPr>
            <w:r w:rsidRPr="00C613D1">
              <w:rPr>
                <w:rFonts w:ascii="Garamond" w:hAnsi="Garamond"/>
                <w:color w:val="000000" w:themeColor="text1"/>
                <w:sz w:val="16"/>
                <w:szCs w:val="16"/>
              </w:rPr>
              <w:t xml:space="preserve">Zdobywanie przez uczniów kompetencji kluczowych z przedmiotów </w:t>
            </w:r>
            <w:proofErr w:type="spellStart"/>
            <w:r w:rsidRPr="00C613D1">
              <w:rPr>
                <w:rFonts w:ascii="Garamond" w:hAnsi="Garamond"/>
                <w:color w:val="000000" w:themeColor="text1"/>
                <w:sz w:val="16"/>
                <w:szCs w:val="16"/>
              </w:rPr>
              <w:t>matematyczno</w:t>
            </w:r>
            <w:proofErr w:type="spellEnd"/>
            <w:r w:rsidRPr="00C613D1">
              <w:rPr>
                <w:rFonts w:ascii="Garamond" w:hAnsi="Garamond"/>
                <w:color w:val="000000" w:themeColor="text1"/>
                <w:sz w:val="16"/>
                <w:szCs w:val="16"/>
              </w:rPr>
              <w:t xml:space="preserve"> – przyrodniczych i języka obcego w szkołach Gminy Brodnica</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9F5AE5"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hideMark/>
          </w:tcPr>
          <w:p w:rsidR="000326FF" w:rsidRPr="00C613D1" w:rsidRDefault="00B364B1"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313 499,50</w:t>
            </w:r>
            <w:r w:rsidR="000326FF" w:rsidRPr="00C613D1">
              <w:rPr>
                <w:rFonts w:ascii="Garamond" w:hAnsi="Garamond" w:cs="Times New Roman"/>
                <w:color w:val="000000" w:themeColor="text1"/>
                <w:sz w:val="16"/>
                <w:szCs w:val="16"/>
              </w:rPr>
              <w:t xml:space="preserve">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F7049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266 467,95</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B364B1"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15 681,60</w:t>
            </w:r>
          </w:p>
          <w:p w:rsidR="00DB1F7B" w:rsidRPr="00C613D1" w:rsidRDefault="00DB1F7B"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Wkład krajowy </w:t>
            </w:r>
          </w:p>
          <w:p w:rsidR="00F7049D" w:rsidRPr="00C613D1" w:rsidRDefault="00F7049D"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31 349,95</w:t>
            </w:r>
          </w:p>
          <w:p w:rsidR="000326FF" w:rsidRPr="00C613D1" w:rsidRDefault="000326FF" w:rsidP="00B364B1">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347CAF" w:rsidRPr="00C613D1" w:rsidRDefault="009F5AE5"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TIK dzięki EFS- 16 osób</w:t>
            </w:r>
          </w:p>
          <w:p w:rsidR="00347CAF" w:rsidRPr="00C613D1" w:rsidRDefault="00347CA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objętych wsparciem w </w:t>
            </w:r>
            <w:r w:rsidR="00B364B1" w:rsidRPr="00C613D1">
              <w:rPr>
                <w:rFonts w:ascii="Garamond" w:hAnsi="Garamond"/>
                <w:color w:val="000000" w:themeColor="text1"/>
                <w:sz w:val="16"/>
                <w:szCs w:val="16"/>
              </w:rPr>
              <w:t>zakresie TIK w ramach programu</w:t>
            </w:r>
            <w:r w:rsidRPr="00C613D1">
              <w:rPr>
                <w:rFonts w:ascii="Garamond" w:hAnsi="Garamond"/>
                <w:color w:val="000000" w:themeColor="text1"/>
                <w:sz w:val="16"/>
                <w:szCs w:val="16"/>
              </w:rPr>
              <w:t xml:space="preserve"> –</w:t>
            </w:r>
            <w:r w:rsidR="00B364B1" w:rsidRPr="00C613D1">
              <w:rPr>
                <w:rFonts w:ascii="Garamond" w:hAnsi="Garamond"/>
                <w:color w:val="000000" w:themeColor="text1"/>
                <w:sz w:val="16"/>
                <w:szCs w:val="16"/>
              </w:rPr>
              <w:t>16</w:t>
            </w:r>
            <w:r w:rsidRPr="00C613D1">
              <w:rPr>
                <w:rFonts w:ascii="Garamond" w:hAnsi="Garamond"/>
                <w:color w:val="000000" w:themeColor="text1"/>
                <w:sz w:val="16"/>
                <w:szCs w:val="16"/>
              </w:rPr>
              <w:t xml:space="preserve"> osób</w:t>
            </w:r>
          </w:p>
          <w:p w:rsidR="00B364B1" w:rsidRPr="00C613D1" w:rsidRDefault="00B364B1" w:rsidP="00B364B1">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–125osób</w:t>
            </w:r>
          </w:p>
          <w:p w:rsidR="00B364B1" w:rsidRPr="00C613D1" w:rsidRDefault="00B364B1"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programie w zakresie rozwijania kompetencji kluczowych w programie – 130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którzy uzyskali </w:t>
            </w:r>
            <w:r w:rsidRPr="00C613D1">
              <w:rPr>
                <w:rFonts w:ascii="Garamond" w:hAnsi="Garamond"/>
                <w:color w:val="000000" w:themeColor="text1"/>
                <w:sz w:val="16"/>
                <w:szCs w:val="16"/>
              </w:rPr>
              <w:lastRenderedPageBreak/>
              <w:t xml:space="preserve">kwalifikacje lub nabyli kompetencje po </w:t>
            </w:r>
            <w:r w:rsidR="00B364B1" w:rsidRPr="00C613D1">
              <w:rPr>
                <w:rFonts w:ascii="Garamond" w:hAnsi="Garamond"/>
                <w:color w:val="000000" w:themeColor="text1"/>
                <w:sz w:val="16"/>
                <w:szCs w:val="16"/>
              </w:rPr>
              <w:t>opuszczeniu programu –  25</w:t>
            </w:r>
            <w:r w:rsidRPr="00C613D1">
              <w:rPr>
                <w:rFonts w:ascii="Garamond" w:hAnsi="Garamond"/>
                <w:color w:val="000000" w:themeColor="text1"/>
                <w:sz w:val="16"/>
                <w:szCs w:val="16"/>
              </w:rPr>
              <w:t xml:space="preserve">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t>
            </w:r>
            <w:r w:rsidR="0087186D" w:rsidRPr="00C613D1">
              <w:rPr>
                <w:rFonts w:ascii="Garamond" w:hAnsi="Garamond"/>
                <w:color w:val="000000" w:themeColor="text1"/>
                <w:sz w:val="16"/>
                <w:szCs w:val="16"/>
              </w:rPr>
              <w:t>we po opuszczeniu p</w:t>
            </w:r>
            <w:r w:rsidR="00B364B1" w:rsidRPr="00C613D1">
              <w:rPr>
                <w:rFonts w:ascii="Garamond" w:hAnsi="Garamond"/>
                <w:color w:val="000000" w:themeColor="text1"/>
                <w:sz w:val="16"/>
                <w:szCs w:val="16"/>
              </w:rPr>
              <w:t>rogramu – 104</w:t>
            </w:r>
            <w:r w:rsidRPr="00C613D1">
              <w:rPr>
                <w:rFonts w:ascii="Garamond" w:hAnsi="Garamond"/>
                <w:color w:val="000000" w:themeColor="text1"/>
                <w:sz w:val="16"/>
                <w:szCs w:val="16"/>
              </w:rPr>
              <w:t xml:space="preserve"> osób</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wykorzystujących sprzęt TIK do pr</w:t>
            </w:r>
            <w:r w:rsidR="00B364B1" w:rsidRPr="00C613D1">
              <w:rPr>
                <w:rFonts w:ascii="Garamond" w:hAnsi="Garamond"/>
                <w:color w:val="000000" w:themeColor="text1"/>
                <w:sz w:val="16"/>
                <w:szCs w:val="16"/>
              </w:rPr>
              <w:t>owadzenia zajęć edukacyjnych – 2</w:t>
            </w:r>
            <w:r w:rsidRPr="00C613D1">
              <w:rPr>
                <w:rFonts w:ascii="Garamond" w:hAnsi="Garamond"/>
                <w:color w:val="000000" w:themeColor="text1"/>
                <w:sz w:val="16"/>
                <w:szCs w:val="16"/>
              </w:rPr>
              <w:t xml:space="preserve"> szt.</w:t>
            </w:r>
          </w:p>
          <w:p w:rsidR="000326FF" w:rsidRPr="00C613D1" w:rsidRDefault="000326FF" w:rsidP="009F5AE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w których pracownie przedmiotowe wykorzystują doposażenie do pro</w:t>
            </w:r>
            <w:r w:rsidR="00B364B1" w:rsidRPr="00C613D1">
              <w:rPr>
                <w:rFonts w:ascii="Garamond" w:hAnsi="Garamond"/>
                <w:color w:val="000000" w:themeColor="text1"/>
                <w:sz w:val="16"/>
                <w:szCs w:val="16"/>
              </w:rPr>
              <w:t>wadzenia zajęć edukacyjnych –  2</w:t>
            </w:r>
            <w:r w:rsidRPr="00C613D1">
              <w:rPr>
                <w:rFonts w:ascii="Garamond" w:hAnsi="Garamond"/>
                <w:color w:val="000000" w:themeColor="text1"/>
                <w:sz w:val="16"/>
                <w:szCs w:val="16"/>
              </w:rPr>
              <w:t xml:space="preserve"> szt.</w:t>
            </w:r>
          </w:p>
          <w:p w:rsidR="000326FF" w:rsidRPr="00C613D1" w:rsidRDefault="000326FF" w:rsidP="00324C7B">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wyposażonych w ramach programu w sprzęt TIK do pr</w:t>
            </w:r>
            <w:r w:rsidR="009F5AE5" w:rsidRPr="00C613D1">
              <w:rPr>
                <w:rFonts w:ascii="Garamond" w:hAnsi="Garamond"/>
                <w:color w:val="000000" w:themeColor="text1"/>
                <w:sz w:val="16"/>
                <w:szCs w:val="16"/>
              </w:rPr>
              <w:t>owadzenia zajęć edukacyjnych – 2</w:t>
            </w:r>
            <w:r w:rsidRPr="00C613D1">
              <w:rPr>
                <w:rFonts w:ascii="Garamond" w:hAnsi="Garamond"/>
                <w:color w:val="000000" w:themeColor="text1"/>
                <w:sz w:val="16"/>
                <w:szCs w:val="16"/>
              </w:rPr>
              <w:t xml:space="preserve"> szt.</w:t>
            </w:r>
          </w:p>
          <w:p w:rsidR="000326FF" w:rsidRPr="00C613D1" w:rsidRDefault="000326FF" w:rsidP="009F5AE5">
            <w:pPr>
              <w:pStyle w:val="Akapitzlist"/>
              <w:numPr>
                <w:ilvl w:val="0"/>
                <w:numId w:val="101"/>
              </w:numPr>
              <w:spacing w:before="40" w:after="40" w:line="240" w:lineRule="auto"/>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 xml:space="preserve">Liczba szkół, których </w:t>
            </w:r>
            <w:r w:rsidR="009F5AE5" w:rsidRPr="00C613D1">
              <w:rPr>
                <w:rFonts w:ascii="Garamond" w:hAnsi="Garamond"/>
                <w:color w:val="000000" w:themeColor="text1"/>
                <w:sz w:val="16"/>
                <w:szCs w:val="16"/>
              </w:rPr>
              <w:t>pracownie przedmiotowe</w:t>
            </w:r>
            <w:r w:rsidRPr="00C613D1">
              <w:rPr>
                <w:rFonts w:ascii="Garamond" w:hAnsi="Garamond"/>
                <w:color w:val="000000" w:themeColor="text1"/>
                <w:sz w:val="16"/>
                <w:szCs w:val="16"/>
              </w:rPr>
              <w:t xml:space="preserve"> zostały doposażone w programie – </w:t>
            </w:r>
            <w:r w:rsidR="00B364B1" w:rsidRPr="00C613D1">
              <w:rPr>
                <w:rFonts w:ascii="Garamond" w:hAnsi="Garamond"/>
                <w:color w:val="000000" w:themeColor="text1"/>
                <w:sz w:val="16"/>
                <w:szCs w:val="16"/>
              </w:rPr>
              <w:t>2</w:t>
            </w:r>
            <w:r w:rsidRPr="00C613D1">
              <w:rPr>
                <w:rFonts w:ascii="Garamond" w:hAnsi="Garamond"/>
                <w:color w:val="000000" w:themeColor="text1"/>
                <w:sz w:val="16"/>
                <w:szCs w:val="16"/>
              </w:rPr>
              <w:t xml:space="preserve"> szt.</w:t>
            </w:r>
          </w:p>
        </w:tc>
      </w:tr>
      <w:tr w:rsidR="00C613D1" w:rsidRPr="00C613D1" w:rsidTr="00324C7B">
        <w:trPr>
          <w:trHeight w:val="20"/>
        </w:trPr>
        <w:tc>
          <w:tcPr>
            <w:tcW w:w="173" w:type="pct"/>
            <w:shd w:val="clear" w:color="auto" w:fill="auto"/>
            <w:noWrap/>
            <w:vAlign w:val="center"/>
          </w:tcPr>
          <w:p w:rsidR="008D3751" w:rsidRPr="00C613D1" w:rsidRDefault="008D375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32a</w:t>
            </w:r>
          </w:p>
        </w:tc>
        <w:tc>
          <w:tcPr>
            <w:tcW w:w="754" w:type="pct"/>
            <w:shd w:val="clear" w:color="auto" w:fill="auto"/>
            <w:vAlign w:val="center"/>
          </w:tcPr>
          <w:p w:rsidR="008D3751" w:rsidRPr="00C613D1" w:rsidRDefault="008D3751" w:rsidP="00324C7B">
            <w:pPr>
              <w:rPr>
                <w:rFonts w:ascii="Garamond" w:hAnsi="Garamond"/>
                <w:color w:val="000000" w:themeColor="text1"/>
                <w:sz w:val="16"/>
                <w:szCs w:val="16"/>
              </w:rPr>
            </w:pPr>
            <w:r w:rsidRPr="00C613D1">
              <w:rPr>
                <w:rFonts w:ascii="Garamond" w:hAnsi="Garamond"/>
                <w:color w:val="000000" w:themeColor="text1"/>
                <w:sz w:val="16"/>
                <w:szCs w:val="16"/>
              </w:rPr>
              <w:t>Zdobycie przez uczniów Szkoły Podstawowej w Gortatowie z siedziba w Szczuce kompet</w:t>
            </w:r>
            <w:r w:rsidR="001D1010" w:rsidRPr="00C613D1">
              <w:rPr>
                <w:rFonts w:ascii="Garamond" w:hAnsi="Garamond"/>
                <w:color w:val="000000" w:themeColor="text1"/>
                <w:sz w:val="16"/>
                <w:szCs w:val="16"/>
              </w:rPr>
              <w:t>encji kluczowych i umiejętności uniwersalnych niezbędnych na rynku pracy</w:t>
            </w:r>
          </w:p>
        </w:tc>
        <w:tc>
          <w:tcPr>
            <w:tcW w:w="401" w:type="pct"/>
            <w:shd w:val="clear" w:color="auto" w:fill="auto"/>
            <w:vAlign w:val="center"/>
          </w:tcPr>
          <w:p w:rsidR="008D3751" w:rsidRPr="00C613D1" w:rsidRDefault="001D101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801" w:type="pct"/>
            <w:shd w:val="clear" w:color="auto" w:fill="auto"/>
            <w:vAlign w:val="center"/>
          </w:tcPr>
          <w:p w:rsidR="001D1010" w:rsidRPr="00C613D1" w:rsidRDefault="001D1010" w:rsidP="001D1010">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1D1010" w:rsidRPr="00C613D1" w:rsidRDefault="001D1010" w:rsidP="001D1010">
            <w:pPr>
              <w:pStyle w:val="S1"/>
              <w:numPr>
                <w:ilvl w:val="0"/>
                <w:numId w:val="0"/>
              </w:numPr>
              <w:spacing w:before="40" w:after="40" w:line="240" w:lineRule="auto"/>
              <w:jc w:val="center"/>
              <w:rPr>
                <w:b w:val="0"/>
                <w:color w:val="000000" w:themeColor="text1"/>
                <w:sz w:val="16"/>
                <w:szCs w:val="16"/>
              </w:rPr>
            </w:pPr>
          </w:p>
          <w:p w:rsidR="008D3751" w:rsidRPr="00C613D1" w:rsidRDefault="001D1010" w:rsidP="001D1010">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8D3751" w:rsidRPr="00C613D1" w:rsidRDefault="001D1010"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2019-2020</w:t>
            </w:r>
          </w:p>
        </w:tc>
        <w:tc>
          <w:tcPr>
            <w:tcW w:w="351" w:type="pct"/>
            <w:shd w:val="clear" w:color="auto" w:fill="auto"/>
            <w:vAlign w:val="center"/>
          </w:tcPr>
          <w:p w:rsidR="008D3751" w:rsidRPr="00C613D1" w:rsidRDefault="001D1010"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tcPr>
          <w:p w:rsidR="008D3751" w:rsidRPr="00C613D1" w:rsidRDefault="001D1010"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 xml:space="preserve">200 000,00 </w:t>
            </w:r>
          </w:p>
        </w:tc>
        <w:tc>
          <w:tcPr>
            <w:tcW w:w="501" w:type="pct"/>
            <w:shd w:val="clear" w:color="auto" w:fill="auto"/>
            <w:vAlign w:val="center"/>
          </w:tcPr>
          <w:p w:rsidR="001D1010" w:rsidRPr="00C613D1" w:rsidRDefault="001D1010" w:rsidP="001D101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170 000,00</w:t>
            </w:r>
          </w:p>
          <w:p w:rsidR="001D1010" w:rsidRPr="00C613D1" w:rsidRDefault="001D1010" w:rsidP="001D1010">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10 000,00</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1D1010" w:rsidRPr="00C613D1" w:rsidRDefault="001D1010" w:rsidP="001D1010">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20 000,00</w:t>
            </w:r>
          </w:p>
          <w:p w:rsidR="008D3751" w:rsidRPr="00C613D1" w:rsidRDefault="008D3751" w:rsidP="001D1010">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8D3751" w:rsidRPr="00C613D1" w:rsidRDefault="00D105D3"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tcPr>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którzy uzyskali kwalifikacje lub nabyli kompetencje po </w:t>
            </w:r>
            <w:r w:rsidR="00B364B1" w:rsidRPr="00C613D1">
              <w:rPr>
                <w:rFonts w:ascii="Garamond" w:hAnsi="Garamond"/>
                <w:color w:val="000000" w:themeColor="text1"/>
                <w:sz w:val="16"/>
                <w:szCs w:val="16"/>
              </w:rPr>
              <w:t>opuszczeniu programu –  25</w:t>
            </w:r>
            <w:r w:rsidRPr="00C613D1">
              <w:rPr>
                <w:rFonts w:ascii="Garamond" w:hAnsi="Garamond"/>
                <w:color w:val="000000" w:themeColor="text1"/>
                <w:sz w:val="16"/>
                <w:szCs w:val="16"/>
              </w:rPr>
              <w:t xml:space="preserve">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80 osób</w:t>
            </w:r>
          </w:p>
          <w:p w:rsidR="008D3751"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szkół i placówek systemu oświaty wykorzystujących sprzęt TIK do prowadzenia zajęć edukacyjnych – 1 </w:t>
            </w:r>
            <w:proofErr w:type="spellStart"/>
            <w:r w:rsidRPr="00C613D1">
              <w:rPr>
                <w:rFonts w:ascii="Garamond" w:hAnsi="Garamond"/>
                <w:color w:val="000000" w:themeColor="text1"/>
                <w:sz w:val="16"/>
                <w:szCs w:val="16"/>
              </w:rPr>
              <w:t>szt</w:t>
            </w:r>
            <w:proofErr w:type="spellEnd"/>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w których pracownie przedmiotowe wykorzystują doposażenie do prowadzenia zajęć edukacyjnych –1 szt.</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TIK dzięki EFS – 3 osoby</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zakresie TIK  w programie – 3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 11 osób</w:t>
            </w:r>
          </w:p>
          <w:p w:rsidR="001D1010" w:rsidRPr="00C613D1" w:rsidRDefault="001D1010" w:rsidP="001D1010">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80  osób</w:t>
            </w:r>
          </w:p>
          <w:p w:rsidR="00C32B95" w:rsidRPr="00C613D1" w:rsidRDefault="00C32B95" w:rsidP="00C32B9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szkół i placówek systemu oświaty wyposażonych w ramach programu w sprzęt TIK do prowadzenia zajęć edukacyjnych – 1 szt.</w:t>
            </w:r>
          </w:p>
          <w:p w:rsidR="001D1010" w:rsidRPr="00C613D1" w:rsidRDefault="00C32B95" w:rsidP="00C32B95">
            <w:pPr>
              <w:pStyle w:val="Akapitzlist"/>
              <w:numPr>
                <w:ilvl w:val="0"/>
                <w:numId w:val="101"/>
              </w:numPr>
              <w:spacing w:after="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 xml:space="preserve">Liczba szkół, których pracownie przedmiotowe zostały doposażone w </w:t>
            </w:r>
            <w:r w:rsidRPr="00C613D1">
              <w:rPr>
                <w:rFonts w:ascii="Garamond" w:hAnsi="Garamond"/>
                <w:color w:val="000000" w:themeColor="text1"/>
                <w:sz w:val="16"/>
                <w:szCs w:val="16"/>
              </w:rPr>
              <w:lastRenderedPageBreak/>
              <w:t>programie – 1 szt.</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33</w:t>
            </w:r>
          </w:p>
        </w:tc>
        <w:tc>
          <w:tcPr>
            <w:tcW w:w="754" w:type="pct"/>
            <w:shd w:val="clear" w:color="auto" w:fill="auto"/>
            <w:vAlign w:val="center"/>
          </w:tcPr>
          <w:p w:rsidR="000326FF" w:rsidRPr="00C613D1" w:rsidRDefault="000326FF" w:rsidP="00324C7B">
            <w:pPr>
              <w:rPr>
                <w:rFonts w:ascii="Garamond" w:hAnsi="Garamond"/>
                <w:color w:val="000000" w:themeColor="text1"/>
                <w:sz w:val="16"/>
                <w:szCs w:val="16"/>
              </w:rPr>
            </w:pPr>
            <w:r w:rsidRPr="00C613D1">
              <w:rPr>
                <w:rFonts w:ascii="Garamond" w:hAnsi="Garamond"/>
                <w:color w:val="000000" w:themeColor="text1"/>
                <w:sz w:val="16"/>
                <w:szCs w:val="16"/>
              </w:rPr>
              <w:t>„Nowe umiejętności-nowy start- lepsze życie”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 / GOPS w Brodnicy</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Atrakcyjna oferta staży i praktyk zawodowych</w:t>
            </w:r>
          </w:p>
          <w:p w:rsidR="000326FF" w:rsidRPr="00C613D1" w:rsidRDefault="000326FF" w:rsidP="00324C7B">
            <w:pPr>
              <w:spacing w:after="0" w:line="240" w:lineRule="auto"/>
              <w:jc w:val="center"/>
              <w:rPr>
                <w:rFonts w:ascii="Garamond" w:hAnsi="Garamond"/>
                <w:color w:val="000000" w:themeColor="text1"/>
                <w:sz w:val="16"/>
                <w:szCs w:val="16"/>
              </w:rPr>
            </w:pP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2017-.2018</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Brodnica</w:t>
            </w:r>
          </w:p>
        </w:tc>
        <w:tc>
          <w:tcPr>
            <w:tcW w:w="401" w:type="pct"/>
            <w:shd w:val="clear" w:color="auto" w:fill="auto"/>
            <w:noWrap/>
            <w:vAlign w:val="center"/>
            <w:hideMark/>
          </w:tcPr>
          <w:p w:rsidR="000326FF" w:rsidRPr="00C613D1" w:rsidRDefault="006D02C5" w:rsidP="00324C7B">
            <w:pPr>
              <w:jc w:val="right"/>
              <w:rPr>
                <w:rFonts w:ascii="Garamond" w:hAnsi="Garamond" w:cs="Times New Roman"/>
                <w:color w:val="000000" w:themeColor="text1"/>
                <w:sz w:val="16"/>
                <w:szCs w:val="16"/>
              </w:rPr>
            </w:pPr>
            <w:r w:rsidRPr="00C613D1">
              <w:rPr>
                <w:rFonts w:ascii="Garamond" w:hAnsi="Garamond" w:cs="Times New Roman"/>
                <w:color w:val="000000" w:themeColor="text1"/>
                <w:sz w:val="16"/>
                <w:szCs w:val="16"/>
              </w:rPr>
              <w:t>239 184,00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6D02C5"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203 306,40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6D02C5"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35 877,60</w:t>
            </w: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9i </w:t>
            </w:r>
          </w:p>
        </w:tc>
        <w:tc>
          <w:tcPr>
            <w:tcW w:w="1117" w:type="pct"/>
            <w:shd w:val="clear" w:color="auto" w:fill="auto"/>
            <w:vAlign w:val="center"/>
            <w:hideMark/>
          </w:tcPr>
          <w:p w:rsidR="000326FF" w:rsidRPr="00C613D1"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które uzyskały kwalifikacje po opuszczeniu programu –</w:t>
            </w:r>
            <w:r w:rsidR="006D02C5" w:rsidRPr="00C613D1">
              <w:rPr>
                <w:rFonts w:ascii="Garamond" w:hAnsi="Garamond"/>
                <w:color w:val="000000" w:themeColor="text1"/>
                <w:sz w:val="16"/>
                <w:szCs w:val="16"/>
              </w:rPr>
              <w:t>25</w:t>
            </w:r>
            <w:r w:rsidRPr="00C613D1">
              <w:rPr>
                <w:rFonts w:ascii="Garamond" w:hAnsi="Garamond"/>
                <w:color w:val="000000" w:themeColor="text1"/>
                <w:sz w:val="16"/>
                <w:szCs w:val="16"/>
              </w:rPr>
              <w:t xml:space="preserve"> osoby</w:t>
            </w:r>
          </w:p>
          <w:p w:rsidR="000326FF" w:rsidRPr="00C613D1" w:rsidRDefault="000326FF" w:rsidP="00324C7B">
            <w:pPr>
              <w:pStyle w:val="Akapitzlist"/>
              <w:numPr>
                <w:ilvl w:val="0"/>
                <w:numId w:val="7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osób zagrożonych ubóstwem lub wykluczeniem społecznym pracujących po opuszczeniu programu (łącznie z pracującymi na wła</w:t>
            </w:r>
            <w:r w:rsidR="006D02C5" w:rsidRPr="00C613D1">
              <w:rPr>
                <w:rFonts w:ascii="Garamond" w:eastAsia="Times New Roman" w:hAnsi="Garamond" w:cs="Arial"/>
                <w:color w:val="000000" w:themeColor="text1"/>
                <w:sz w:val="16"/>
                <w:szCs w:val="16"/>
              </w:rPr>
              <w:t>sny rachunek) –  8</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72"/>
              </w:numPr>
              <w:spacing w:after="0" w:line="23" w:lineRule="atLeast"/>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pracujących 6 miesięcy po opuszczeniu programu (łącznie z pracującymi na własny rachunek) – </w:t>
            </w:r>
            <w:r w:rsidR="006D02C5" w:rsidRPr="00C613D1">
              <w:rPr>
                <w:rFonts w:ascii="Garamond" w:eastAsia="Times New Roman" w:hAnsi="Garamond" w:cs="Arial"/>
                <w:color w:val="000000" w:themeColor="text1"/>
                <w:sz w:val="16"/>
                <w:szCs w:val="16"/>
              </w:rPr>
              <w:t>8</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72"/>
              </w:numPr>
              <w:spacing w:after="0" w:line="23" w:lineRule="atLeast"/>
              <w:ind w:left="170" w:hanging="170"/>
              <w:jc w:val="both"/>
              <w:rPr>
                <w:rFonts w:ascii="Garamond" w:hAnsi="Garamond"/>
                <w:color w:val="000000" w:themeColor="text1"/>
                <w:sz w:val="16"/>
                <w:szCs w:val="16"/>
              </w:rPr>
            </w:pPr>
            <w:r w:rsidRPr="00C613D1">
              <w:rPr>
                <w:rFonts w:ascii="Garamond" w:eastAsia="Times New Roman" w:hAnsi="Garamond" w:cs="Arial"/>
                <w:color w:val="000000" w:themeColor="text1"/>
                <w:sz w:val="16"/>
                <w:szCs w:val="16"/>
              </w:rPr>
              <w:t xml:space="preserve">Liczba osób zagrożonych ubóstwem lub wykluczeniem społecznym poszukujących pracy po opuszczeniu programu – </w:t>
            </w:r>
            <w:r w:rsidR="006D02C5" w:rsidRPr="00C613D1">
              <w:rPr>
                <w:rFonts w:ascii="Garamond" w:eastAsia="Times New Roman" w:hAnsi="Garamond" w:cs="Arial"/>
                <w:color w:val="000000" w:themeColor="text1"/>
                <w:sz w:val="16"/>
                <w:szCs w:val="16"/>
              </w:rPr>
              <w:t>14</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NormalnyWeb"/>
              <w:numPr>
                <w:ilvl w:val="0"/>
                <w:numId w:val="72"/>
              </w:numPr>
              <w:spacing w:before="0" w:beforeAutospacing="0" w:after="0" w:afterAutospacing="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osób zagrożonych ubóstwem lub wykluczeniem społecznym obj</w:t>
            </w:r>
            <w:r w:rsidR="006D02C5" w:rsidRPr="00C613D1">
              <w:rPr>
                <w:rFonts w:ascii="Garamond" w:hAnsi="Garamond"/>
                <w:color w:val="000000" w:themeColor="text1"/>
                <w:sz w:val="16"/>
                <w:szCs w:val="16"/>
              </w:rPr>
              <w:t>ętych wsparciem w programie – 40</w:t>
            </w:r>
            <w:r w:rsidRPr="00C613D1">
              <w:rPr>
                <w:rFonts w:ascii="Garamond" w:hAnsi="Garamond"/>
                <w:color w:val="000000" w:themeColor="text1"/>
                <w:sz w:val="16"/>
                <w:szCs w:val="16"/>
              </w:rPr>
              <w:t xml:space="preserve"> osoby</w:t>
            </w:r>
          </w:p>
          <w:p w:rsidR="000326FF" w:rsidRPr="00C613D1" w:rsidRDefault="000326FF" w:rsidP="006D02C5">
            <w:pPr>
              <w:pStyle w:val="Akapitzlist"/>
              <w:spacing w:before="40" w:after="40" w:line="240" w:lineRule="auto"/>
              <w:ind w:left="170"/>
              <w:jc w:val="both"/>
              <w:rPr>
                <w:rFonts w:ascii="Garamond" w:eastAsia="Times New Roman" w:hAnsi="Garamond" w:cs="Arial"/>
                <w:color w:val="000000" w:themeColor="text1"/>
                <w:sz w:val="16"/>
                <w:szCs w:val="16"/>
              </w:rPr>
            </w:pPr>
            <w:r w:rsidRPr="00C613D1">
              <w:rPr>
                <w:rFonts w:ascii="Garamond" w:hAnsi="Garamond" w:cs="Arial"/>
                <w:color w:val="000000" w:themeColor="text1"/>
                <w:sz w:val="16"/>
                <w:szCs w:val="16"/>
              </w:rPr>
              <w:t xml:space="preserve">Liczba osób z niepełnosprawnościami objętych wsparciem w programie –  min. </w:t>
            </w:r>
            <w:r w:rsidR="006D02C5" w:rsidRPr="00C613D1">
              <w:rPr>
                <w:rFonts w:ascii="Garamond" w:hAnsi="Garamond" w:cs="Arial"/>
                <w:color w:val="000000" w:themeColor="text1"/>
                <w:sz w:val="16"/>
                <w:szCs w:val="16"/>
              </w:rPr>
              <w:t>5</w:t>
            </w:r>
            <w:r w:rsidRPr="00C613D1">
              <w:rPr>
                <w:rFonts w:ascii="Garamond" w:hAnsi="Garamond" w:cs="Arial"/>
                <w:color w:val="000000" w:themeColor="text1"/>
                <w:sz w:val="16"/>
                <w:szCs w:val="16"/>
              </w:rPr>
              <w:t xml:space="preserve">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37</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Równy dostęp do dobrej jakości edukacji przedszkolnej na terenie Miasta i Gminy Jabłonowo Pomorskie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147F41" w:rsidP="00147F41">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2018-IV kw. 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425 000,00 zł</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21742"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75</w:t>
            </w:r>
            <w:r w:rsidR="000326FF" w:rsidRPr="00C613D1">
              <w:rPr>
                <w:rFonts w:ascii="Garamond" w:eastAsia="Times New Roman" w:hAnsi="Garamond" w:cs="Arial"/>
                <w:bCs/>
                <w:color w:val="000000" w:themeColor="text1"/>
                <w:sz w:val="16"/>
                <w:szCs w:val="16"/>
              </w:rPr>
              <w:t> 000,00 zł</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ze środków EFS -100%</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 – 13 osób</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uczniów, którzy nabyli kompetencje kluczowe po opuszczeniu programu – 91 osób</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placówek systemu oświaty wykorzystujących metodę pedagogiki zabawy do prowadzenia zajęć edukacyjnych – 3 szt. </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placówek, w których sale dydaktyczne  wykorzystują doposażenie do prowadzenia zajęć edukacyjnych – 3 szt. </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prowadzących zajęcia z wykorzystaniem metody pedagogiki zabawy dzięki EFS – 13</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dzieci objętych w ramach programu zajęciami zwiększającymi ich szanse edukacyjne w edukacji przedszkolnej – 91</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dofinansowanych w programie - 55</w:t>
            </w:r>
          </w:p>
          <w:p w:rsidR="000326FF" w:rsidRPr="00C613D1" w:rsidRDefault="000326FF" w:rsidP="00324C7B">
            <w:pPr>
              <w:pStyle w:val="Akapitzlist"/>
              <w:widowControl w:val="0"/>
              <w:numPr>
                <w:ilvl w:val="0"/>
                <w:numId w:val="62"/>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nauczycieli objętych wsparciem w </w:t>
            </w:r>
            <w:r w:rsidRPr="00C613D1">
              <w:rPr>
                <w:rFonts w:ascii="Garamond" w:hAnsi="Garamond"/>
                <w:color w:val="000000" w:themeColor="text1"/>
                <w:sz w:val="16"/>
                <w:szCs w:val="16"/>
              </w:rPr>
              <w:lastRenderedPageBreak/>
              <w:t>programie – 13</w:t>
            </w:r>
          </w:p>
          <w:p w:rsidR="000326FF" w:rsidRPr="00C613D1" w:rsidRDefault="000326FF" w:rsidP="00324C7B">
            <w:pPr>
              <w:pStyle w:val="Akapitzlist"/>
              <w:numPr>
                <w:ilvl w:val="0"/>
                <w:numId w:val="6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uczniów objętych wsparciem w zakresie rozwijania kompetencji kluczowych w programie –  91 osób</w:t>
            </w:r>
          </w:p>
          <w:p w:rsidR="000326FF" w:rsidRPr="00C613D1" w:rsidRDefault="000326FF" w:rsidP="00324C7B">
            <w:pPr>
              <w:pStyle w:val="Akapitzlist"/>
              <w:numPr>
                <w:ilvl w:val="0"/>
                <w:numId w:val="62"/>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 xml:space="preserve">Liczba szkół i placówek systemu oświaty wyposażonych w ramach programu w sprzęt do prowadzenia zajęć edukacyjnych – 3 </w:t>
            </w:r>
            <w:proofErr w:type="spellStart"/>
            <w:r w:rsidRPr="00C613D1">
              <w:rPr>
                <w:rFonts w:ascii="Garamond" w:hAnsi="Garamond"/>
                <w:color w:val="000000" w:themeColor="text1"/>
                <w:sz w:val="16"/>
                <w:szCs w:val="16"/>
              </w:rPr>
              <w:t>szt</w:t>
            </w:r>
            <w:proofErr w:type="spellEnd"/>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38</w:t>
            </w:r>
          </w:p>
        </w:tc>
        <w:tc>
          <w:tcPr>
            <w:tcW w:w="754"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Wsparcie nauczycieli wychowania przedszkolnego ukierunkowane na podniesienie kwalifikacji w zakresie oligofrenopedagogiki w przedszkolach na terenie Miasta i Gminy Jabłonowo Pomorskie</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147F41">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IV kw. 201</w:t>
            </w:r>
            <w:r w:rsidR="00147F41" w:rsidRPr="00C613D1">
              <w:rPr>
                <w:rFonts w:ascii="Garamond" w:eastAsia="Times New Roman" w:hAnsi="Garamond" w:cs="Arial"/>
                <w:color w:val="000000" w:themeColor="text1"/>
                <w:sz w:val="16"/>
                <w:szCs w:val="16"/>
              </w:rPr>
              <w:t>8-IV kw. 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170 000,00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ze środków EFS – 100%</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 – 6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 xml:space="preserve">Liczba uczniów, którzy nabyli kompetencje kluczowe po opuszczeniu programu – 18 </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dofinansowanych w programie – 18 szt.</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dzieci objętych w ramach programu dodatkowymi zajęciami zwiększającymi ich szanse edukacyjne w edukacji – 18 osób</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programie – 6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s="Arial"/>
                <w:color w:val="000000" w:themeColor="text1"/>
                <w:sz w:val="16"/>
                <w:szCs w:val="16"/>
              </w:rPr>
              <w:t>Liczba dzieci o specjalnych potrzebach edukacyjnych objętych wsparciem – 18 osoby</w:t>
            </w:r>
          </w:p>
          <w:p w:rsidR="000326FF" w:rsidRPr="00C613D1" w:rsidRDefault="000326FF" w:rsidP="00324C7B">
            <w:pPr>
              <w:pStyle w:val="Akapitzlist"/>
              <w:widowControl w:val="0"/>
              <w:numPr>
                <w:ilvl w:val="0"/>
                <w:numId w:val="63"/>
              </w:numPr>
              <w:autoSpaceDE w:val="0"/>
              <w:autoSpaceDN w:val="0"/>
              <w:adjustRightInd w:val="0"/>
              <w:spacing w:before="40" w:after="40" w:line="23" w:lineRule="atLeast"/>
              <w:ind w:left="170" w:hanging="170"/>
              <w:jc w:val="both"/>
              <w:rPr>
                <w:rFonts w:ascii="Garamond" w:hAnsi="Garamond"/>
                <w:color w:val="000000" w:themeColor="text1"/>
                <w:sz w:val="16"/>
                <w:szCs w:val="16"/>
              </w:rPr>
            </w:pPr>
            <w:r w:rsidRPr="00C613D1">
              <w:rPr>
                <w:rFonts w:ascii="Garamond" w:hAnsi="Garamond"/>
                <w:color w:val="000000" w:themeColor="text1"/>
                <w:sz w:val="16"/>
                <w:szCs w:val="16"/>
              </w:rPr>
              <w:t>Liczba nauczycieli objętych wsparciem w  zakresie TIK  w ramach programu – 6 osób</w:t>
            </w:r>
          </w:p>
        </w:tc>
      </w:tr>
      <w:tr w:rsidR="00C613D1" w:rsidRPr="00C613D1" w:rsidTr="00324C7B">
        <w:trPr>
          <w:trHeight w:val="20"/>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39</w:t>
            </w:r>
          </w:p>
        </w:tc>
        <w:tc>
          <w:tcPr>
            <w:tcW w:w="754" w:type="pct"/>
            <w:shd w:val="clear" w:color="auto" w:fill="auto"/>
            <w:vAlign w:val="center"/>
          </w:tcPr>
          <w:p w:rsidR="000326FF" w:rsidRPr="00C613D1" w:rsidRDefault="003E4AD1"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Energia Kompetencji</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Nowoczesna oferta edukacyjna odpowiadająca potrzebom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Dostosowanie oferty edukacyjnej do potrzeb rynku pracy</w:t>
            </w: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ind w:left="33"/>
              <w:jc w:val="center"/>
              <w:rPr>
                <w:b w:val="0"/>
                <w:color w:val="000000" w:themeColor="text1"/>
                <w:sz w:val="16"/>
                <w:szCs w:val="16"/>
              </w:rPr>
            </w:pPr>
            <w:r w:rsidRPr="00C613D1">
              <w:rPr>
                <w:b w:val="0"/>
                <w:color w:val="000000" w:themeColor="text1"/>
                <w:sz w:val="16"/>
                <w:szCs w:val="16"/>
              </w:rPr>
              <w:t>Wsparcie rozwoju doradztwa edukacyjno-zawodowego</w:t>
            </w:r>
          </w:p>
        </w:tc>
        <w:tc>
          <w:tcPr>
            <w:tcW w:w="350" w:type="pct"/>
            <w:shd w:val="clear" w:color="auto" w:fill="auto"/>
            <w:vAlign w:val="center"/>
            <w:hideMark/>
          </w:tcPr>
          <w:p w:rsidR="000326FF" w:rsidRPr="00C613D1" w:rsidRDefault="00147F41"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2018-2020</w:t>
            </w:r>
          </w:p>
        </w:tc>
        <w:tc>
          <w:tcPr>
            <w:tcW w:w="351" w:type="pct"/>
            <w:shd w:val="clear" w:color="auto" w:fill="auto"/>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Miasto i Gmina Jabłonowo Pomorskie</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554  250,00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471 112,50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28 000,00</w:t>
            </w:r>
          </w:p>
          <w:p w:rsidR="00E7001E" w:rsidRPr="00C613D1" w:rsidRDefault="00E7001E"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E7001E"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55 137,50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p w:rsidR="003E4AD1"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uczniów objętych wsparciem – 350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uczniów, którzy nabyli kompetencje kluczowe po opuszczeniu programu – </w:t>
            </w:r>
            <w:r w:rsidR="003E4AD1" w:rsidRPr="00C613D1">
              <w:rPr>
                <w:rFonts w:ascii="Garamond" w:eastAsia="Times New Roman" w:hAnsi="Garamond" w:cs="Arial"/>
                <w:color w:val="000000" w:themeColor="text1"/>
                <w:sz w:val="16"/>
                <w:szCs w:val="16"/>
              </w:rPr>
              <w:t>3</w:t>
            </w:r>
            <w:r w:rsidR="002A5B00" w:rsidRPr="00C613D1">
              <w:rPr>
                <w:rFonts w:ascii="Garamond" w:eastAsia="Times New Roman" w:hAnsi="Garamond" w:cs="Arial"/>
                <w:color w:val="000000" w:themeColor="text1"/>
                <w:sz w:val="16"/>
                <w:szCs w:val="16"/>
              </w:rPr>
              <w:t>50</w:t>
            </w:r>
            <w:r w:rsidRPr="00C613D1">
              <w:rPr>
                <w:rFonts w:ascii="Garamond" w:eastAsia="Times New Roman" w:hAnsi="Garamond" w:cs="Arial"/>
                <w:color w:val="000000" w:themeColor="text1"/>
                <w:sz w:val="16"/>
                <w:szCs w:val="16"/>
              </w:rPr>
              <w:t xml:space="preserve">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hAnsi="Garamond"/>
                <w:color w:val="000000" w:themeColor="text1"/>
                <w:sz w:val="16"/>
                <w:szCs w:val="16"/>
              </w:rPr>
              <w:t>Liczba nauczycieli, którzy uzyskali kwalifikacje lub nabyli kompetencje po opuszczeniu programu-37</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wykorzystujących sprzęt TIK do prowadzenia zajęć edukacyjnych – 3 szt.</w:t>
            </w:r>
          </w:p>
          <w:p w:rsidR="003E4AD1"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Liczba szkół , w których pracownie przedmiotowe wykorzystują doposażenie do prowadzenia zajęć edukacyjnych – 3 </w:t>
            </w:r>
            <w:proofErr w:type="spellStart"/>
            <w:r w:rsidRPr="00C613D1">
              <w:rPr>
                <w:rFonts w:ascii="Garamond" w:eastAsia="Times New Roman" w:hAnsi="Garamond" w:cs="Arial"/>
                <w:color w:val="000000" w:themeColor="text1"/>
                <w:sz w:val="16"/>
                <w:szCs w:val="16"/>
              </w:rPr>
              <w:t>szt</w:t>
            </w:r>
            <w:proofErr w:type="spellEnd"/>
          </w:p>
          <w:p w:rsidR="000326FF"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Wskaźnik sp</w:t>
            </w:r>
            <w:r w:rsidR="002A5B00" w:rsidRPr="00C613D1">
              <w:rPr>
                <w:rFonts w:ascii="Garamond" w:eastAsia="Times New Roman" w:hAnsi="Garamond" w:cs="Arial"/>
                <w:color w:val="000000" w:themeColor="text1"/>
                <w:sz w:val="16"/>
                <w:szCs w:val="16"/>
              </w:rPr>
              <w:t>e</w:t>
            </w:r>
            <w:r w:rsidRPr="00C613D1">
              <w:rPr>
                <w:rFonts w:ascii="Garamond" w:eastAsia="Times New Roman" w:hAnsi="Garamond" w:cs="Arial"/>
                <w:color w:val="000000" w:themeColor="text1"/>
                <w:sz w:val="16"/>
                <w:szCs w:val="16"/>
              </w:rPr>
              <w:t xml:space="preserve">cyficzny dla projektu(własny wnioskodawcy) liczba nauczycieli którzy podnieśli kompetencje w zakresie pracy </w:t>
            </w:r>
            <w:r w:rsidR="002A5B00" w:rsidRPr="00C613D1">
              <w:rPr>
                <w:rFonts w:ascii="Garamond" w:eastAsia="Times New Roman" w:hAnsi="Garamond" w:cs="Arial"/>
                <w:color w:val="000000" w:themeColor="text1"/>
                <w:sz w:val="16"/>
                <w:szCs w:val="16"/>
              </w:rPr>
              <w:t>metodą eksper</w:t>
            </w:r>
            <w:r w:rsidRPr="00C613D1">
              <w:rPr>
                <w:rFonts w:ascii="Garamond" w:eastAsia="Times New Roman" w:hAnsi="Garamond" w:cs="Arial"/>
                <w:color w:val="000000" w:themeColor="text1"/>
                <w:sz w:val="16"/>
                <w:szCs w:val="16"/>
              </w:rPr>
              <w:t>ymentu- 14 osób</w:t>
            </w:r>
            <w:r w:rsidR="000326FF" w:rsidRPr="00C613D1">
              <w:rPr>
                <w:rFonts w:ascii="Garamond" w:eastAsia="Times New Roman" w:hAnsi="Garamond" w:cs="Arial"/>
                <w:color w:val="000000" w:themeColor="text1"/>
                <w:sz w:val="16"/>
                <w:szCs w:val="16"/>
              </w:rPr>
              <w:t>.</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nauczycieli objętych wsparciem w zakresie TIK w ramach programu – 37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Liczba nauczycieli objętych wsparciem w programie – 37 osób</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i placówek systemu oświaty wyposażonych w ramach programu w sprzęt TIK do prowadzenia zajęć- 3 szt.</w:t>
            </w:r>
          </w:p>
          <w:p w:rsidR="000326FF" w:rsidRPr="00C613D1" w:rsidRDefault="000326FF"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Liczba szkół, których pracownie przedmiotowe zostały doposażone w programie – 3 szt.</w:t>
            </w:r>
          </w:p>
          <w:p w:rsidR="003E4AD1" w:rsidRPr="00C613D1" w:rsidRDefault="003E4AD1" w:rsidP="00324C7B">
            <w:pPr>
              <w:pStyle w:val="Akapitzlist"/>
              <w:numPr>
                <w:ilvl w:val="0"/>
                <w:numId w:val="68"/>
              </w:numPr>
              <w:spacing w:before="40" w:after="40" w:line="240" w:lineRule="auto"/>
              <w:ind w:left="170" w:hanging="170"/>
              <w:jc w:val="both"/>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Wskaźnik specyficzny dla projektu(własny wnioskodawcy) liczba nauczycieli objętych wsparciem w zakresie wykorzystania metody eksperymentu- 3 osoby</w:t>
            </w:r>
          </w:p>
          <w:p w:rsidR="000326FF" w:rsidRPr="00C613D1" w:rsidRDefault="000326FF" w:rsidP="00324C7B">
            <w:pPr>
              <w:pStyle w:val="Akapitzlist"/>
              <w:spacing w:before="40" w:after="40" w:line="240" w:lineRule="auto"/>
              <w:ind w:left="170"/>
              <w:jc w:val="both"/>
              <w:rPr>
                <w:rFonts w:ascii="Garamond" w:eastAsia="Times New Roman" w:hAnsi="Garamond" w:cs="Arial"/>
                <w:color w:val="000000" w:themeColor="text1"/>
                <w:sz w:val="16"/>
                <w:szCs w:val="16"/>
              </w:rPr>
            </w:pPr>
          </w:p>
        </w:tc>
      </w:tr>
      <w:tr w:rsidR="00C613D1" w:rsidRPr="00C613D1" w:rsidTr="00324C7B">
        <w:trPr>
          <w:trHeight w:val="20"/>
        </w:trPr>
        <w:tc>
          <w:tcPr>
            <w:tcW w:w="173" w:type="pct"/>
            <w:shd w:val="clear" w:color="auto" w:fill="auto"/>
            <w:noWrap/>
            <w:vAlign w:val="center"/>
          </w:tcPr>
          <w:p w:rsidR="002B4AE7" w:rsidRPr="00576902" w:rsidRDefault="002B4AE7"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lastRenderedPageBreak/>
              <w:t>39a</w:t>
            </w:r>
          </w:p>
        </w:tc>
        <w:tc>
          <w:tcPr>
            <w:tcW w:w="754" w:type="pct"/>
            <w:shd w:val="clear" w:color="auto" w:fill="auto"/>
            <w:vAlign w:val="center"/>
          </w:tcPr>
          <w:p w:rsidR="002B4AE7" w:rsidRPr="00576902" w:rsidRDefault="002B4AE7" w:rsidP="00324C7B">
            <w:pPr>
              <w:spacing w:before="40" w:after="40" w:line="240" w:lineRule="auto"/>
              <w:rPr>
                <w:rFonts w:ascii="Garamond" w:eastAsia="Times New Roman" w:hAnsi="Garamond" w:cs="Arial"/>
                <w:sz w:val="16"/>
                <w:szCs w:val="16"/>
              </w:rPr>
            </w:pPr>
            <w:r w:rsidRPr="00576902">
              <w:rPr>
                <w:rFonts w:ascii="Garamond" w:eastAsia="Times New Roman" w:hAnsi="Garamond" w:cs="Arial"/>
                <w:sz w:val="16"/>
                <w:szCs w:val="16"/>
              </w:rPr>
              <w:t xml:space="preserve">Aktywizacja  osób wykluczonych i zagrożonych wykluczeniem społecznym w celu podjęcia zatrudnienia i uczestnictwa </w:t>
            </w:r>
            <w:r w:rsidR="007C60EA" w:rsidRPr="00576902">
              <w:rPr>
                <w:rFonts w:ascii="Garamond" w:eastAsia="Times New Roman" w:hAnsi="Garamond" w:cs="Arial"/>
                <w:sz w:val="16"/>
                <w:szCs w:val="16"/>
              </w:rPr>
              <w:t>w życiu społeczności lokalnej miasta i gminy Jabłonowo Pomorskie</w:t>
            </w:r>
          </w:p>
        </w:tc>
        <w:tc>
          <w:tcPr>
            <w:tcW w:w="401" w:type="pct"/>
            <w:shd w:val="clear" w:color="auto" w:fill="auto"/>
            <w:vAlign w:val="center"/>
          </w:tcPr>
          <w:p w:rsidR="002B4AE7" w:rsidRPr="00576902" w:rsidRDefault="007C60EA"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t>Miasto i Gmina Jabłonowo Pomorskie</w:t>
            </w:r>
          </w:p>
        </w:tc>
        <w:tc>
          <w:tcPr>
            <w:tcW w:w="801" w:type="pct"/>
            <w:shd w:val="clear" w:color="auto" w:fill="auto"/>
            <w:vAlign w:val="center"/>
          </w:tcPr>
          <w:p w:rsidR="007C60EA" w:rsidRPr="00576902" w:rsidRDefault="007C60EA" w:rsidP="007C60EA">
            <w:pPr>
              <w:pStyle w:val="S1"/>
              <w:numPr>
                <w:ilvl w:val="0"/>
                <w:numId w:val="0"/>
              </w:numPr>
              <w:spacing w:before="40" w:after="40" w:line="240" w:lineRule="auto"/>
              <w:ind w:left="33"/>
              <w:jc w:val="center"/>
              <w:rPr>
                <w:b w:val="0"/>
                <w:color w:val="auto"/>
                <w:sz w:val="16"/>
                <w:szCs w:val="16"/>
              </w:rPr>
            </w:pPr>
            <w:r w:rsidRPr="00576902">
              <w:rPr>
                <w:b w:val="0"/>
                <w:color w:val="auto"/>
                <w:sz w:val="16"/>
                <w:szCs w:val="16"/>
              </w:rPr>
              <w:t>Nowoczesna oferta edukacyjna odpowiadająca potrzebom rynku pracy</w:t>
            </w:r>
          </w:p>
          <w:p w:rsidR="007C60EA" w:rsidRPr="00576902" w:rsidRDefault="007C60EA" w:rsidP="007C60EA">
            <w:pPr>
              <w:pStyle w:val="S1"/>
              <w:numPr>
                <w:ilvl w:val="0"/>
                <w:numId w:val="0"/>
              </w:numPr>
              <w:spacing w:before="40" w:after="40" w:line="240" w:lineRule="auto"/>
              <w:ind w:left="33"/>
              <w:jc w:val="center"/>
              <w:rPr>
                <w:b w:val="0"/>
                <w:color w:val="auto"/>
                <w:sz w:val="16"/>
                <w:szCs w:val="16"/>
              </w:rPr>
            </w:pPr>
          </w:p>
          <w:p w:rsidR="007C60EA" w:rsidRPr="00576902" w:rsidRDefault="007C60EA" w:rsidP="007C60EA">
            <w:pPr>
              <w:pStyle w:val="S1"/>
              <w:numPr>
                <w:ilvl w:val="0"/>
                <w:numId w:val="0"/>
              </w:numPr>
              <w:spacing w:before="40" w:after="40" w:line="240" w:lineRule="auto"/>
              <w:ind w:left="33"/>
              <w:jc w:val="center"/>
              <w:rPr>
                <w:b w:val="0"/>
                <w:color w:val="auto"/>
                <w:sz w:val="16"/>
                <w:szCs w:val="16"/>
              </w:rPr>
            </w:pPr>
            <w:r w:rsidRPr="00576902">
              <w:rPr>
                <w:b w:val="0"/>
                <w:color w:val="auto"/>
                <w:sz w:val="16"/>
                <w:szCs w:val="16"/>
              </w:rPr>
              <w:t>Atrakcyjna oferta staży i praktyk zawodowych</w:t>
            </w:r>
          </w:p>
          <w:p w:rsidR="002B4AE7" w:rsidRPr="00576902" w:rsidRDefault="002B4AE7" w:rsidP="00324C7B">
            <w:pPr>
              <w:pStyle w:val="S1"/>
              <w:numPr>
                <w:ilvl w:val="0"/>
                <w:numId w:val="0"/>
              </w:numPr>
              <w:spacing w:before="40" w:after="40" w:line="240" w:lineRule="auto"/>
              <w:ind w:left="33"/>
              <w:jc w:val="center"/>
              <w:rPr>
                <w:b w:val="0"/>
                <w:color w:val="auto"/>
                <w:sz w:val="16"/>
                <w:szCs w:val="16"/>
              </w:rPr>
            </w:pPr>
          </w:p>
        </w:tc>
        <w:tc>
          <w:tcPr>
            <w:tcW w:w="350" w:type="pct"/>
            <w:shd w:val="clear" w:color="auto" w:fill="auto"/>
            <w:vAlign w:val="center"/>
          </w:tcPr>
          <w:p w:rsidR="002B4AE7" w:rsidRPr="00576902" w:rsidRDefault="00147F41" w:rsidP="000E66AA">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t>2019-202</w:t>
            </w:r>
            <w:r w:rsidR="000E66AA" w:rsidRPr="00576902">
              <w:rPr>
                <w:rFonts w:ascii="Garamond" w:eastAsia="Times New Roman" w:hAnsi="Garamond" w:cs="Arial"/>
                <w:sz w:val="16"/>
                <w:szCs w:val="16"/>
              </w:rPr>
              <w:t>0</w:t>
            </w:r>
          </w:p>
        </w:tc>
        <w:tc>
          <w:tcPr>
            <w:tcW w:w="351" w:type="pct"/>
            <w:shd w:val="clear" w:color="auto" w:fill="auto"/>
            <w:vAlign w:val="center"/>
          </w:tcPr>
          <w:p w:rsidR="002B4AE7" w:rsidRPr="00576902" w:rsidRDefault="007C60EA" w:rsidP="00324C7B">
            <w:pPr>
              <w:spacing w:before="40" w:after="40" w:line="240" w:lineRule="auto"/>
              <w:rPr>
                <w:rFonts w:ascii="Garamond" w:eastAsia="Times New Roman" w:hAnsi="Garamond" w:cs="Arial"/>
                <w:sz w:val="16"/>
                <w:szCs w:val="16"/>
              </w:rPr>
            </w:pPr>
            <w:r w:rsidRPr="00576902">
              <w:rPr>
                <w:rFonts w:ascii="Garamond" w:eastAsia="Times New Roman" w:hAnsi="Garamond" w:cs="Arial"/>
                <w:sz w:val="16"/>
                <w:szCs w:val="16"/>
              </w:rPr>
              <w:t>Miasto i Gmina Jabłonowo Pomorskie</w:t>
            </w:r>
          </w:p>
        </w:tc>
        <w:tc>
          <w:tcPr>
            <w:tcW w:w="401" w:type="pct"/>
            <w:shd w:val="clear" w:color="auto" w:fill="auto"/>
            <w:noWrap/>
            <w:vAlign w:val="center"/>
          </w:tcPr>
          <w:p w:rsidR="002B4AE7" w:rsidRPr="00576902" w:rsidRDefault="000E66AA" w:rsidP="00324C7B">
            <w:pPr>
              <w:spacing w:before="40" w:after="40" w:line="240" w:lineRule="auto"/>
              <w:jc w:val="right"/>
              <w:rPr>
                <w:rFonts w:ascii="Garamond" w:eastAsia="Times New Roman" w:hAnsi="Garamond" w:cs="Arial"/>
                <w:sz w:val="16"/>
                <w:szCs w:val="16"/>
              </w:rPr>
            </w:pPr>
            <w:r w:rsidRPr="00576902">
              <w:rPr>
                <w:rFonts w:ascii="Garamond" w:eastAsia="Times New Roman" w:hAnsi="Garamond" w:cs="Arial"/>
                <w:sz w:val="16"/>
                <w:szCs w:val="16"/>
              </w:rPr>
              <w:t>230 000,00</w:t>
            </w:r>
          </w:p>
        </w:tc>
        <w:tc>
          <w:tcPr>
            <w:tcW w:w="501" w:type="pct"/>
            <w:shd w:val="clear" w:color="auto" w:fill="auto"/>
            <w:vAlign w:val="center"/>
          </w:tcPr>
          <w:p w:rsidR="007C60EA" w:rsidRPr="00576902"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EFS</w:t>
            </w:r>
          </w:p>
          <w:p w:rsidR="007C60EA" w:rsidRPr="00576902" w:rsidRDefault="000E66AA" w:rsidP="007C60EA">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195 500,00</w:t>
            </w:r>
          </w:p>
          <w:p w:rsidR="007C60EA" w:rsidRPr="00576902" w:rsidRDefault="007C60EA" w:rsidP="007C60EA">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Środki własne</w:t>
            </w:r>
          </w:p>
          <w:p w:rsidR="002B4AE7" w:rsidRPr="00576902" w:rsidRDefault="000E66AA" w:rsidP="00CA39A8">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34 500,00</w:t>
            </w:r>
          </w:p>
        </w:tc>
        <w:tc>
          <w:tcPr>
            <w:tcW w:w="150" w:type="pct"/>
            <w:shd w:val="clear" w:color="auto" w:fill="auto"/>
            <w:vAlign w:val="center"/>
          </w:tcPr>
          <w:p w:rsidR="002B4AE7" w:rsidRPr="00576902" w:rsidRDefault="007C60EA"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t>9i</w:t>
            </w:r>
          </w:p>
        </w:tc>
        <w:tc>
          <w:tcPr>
            <w:tcW w:w="1117" w:type="pct"/>
            <w:shd w:val="clear" w:color="auto" w:fill="auto"/>
            <w:vAlign w:val="center"/>
          </w:tcPr>
          <w:p w:rsidR="007C60EA" w:rsidRPr="00576902"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576902">
              <w:rPr>
                <w:rFonts w:ascii="Garamond" w:hAnsi="Garamond"/>
                <w:sz w:val="16"/>
                <w:szCs w:val="16"/>
              </w:rPr>
              <w:t>Liczba osób zagrożonych ubóstwem lub wykluczeniem społecznym, które uzyskały kwalifikacje po opuszczeniu programu –</w:t>
            </w:r>
            <w:r w:rsidR="000E66AA" w:rsidRPr="00576902">
              <w:rPr>
                <w:rFonts w:ascii="Garamond" w:hAnsi="Garamond"/>
                <w:sz w:val="16"/>
                <w:szCs w:val="16"/>
              </w:rPr>
              <w:t>5 osób</w:t>
            </w:r>
          </w:p>
          <w:p w:rsidR="007C60EA" w:rsidRPr="00576902" w:rsidRDefault="007C60EA" w:rsidP="007C60EA">
            <w:pPr>
              <w:pStyle w:val="Akapitzlist"/>
              <w:numPr>
                <w:ilvl w:val="0"/>
                <w:numId w:val="72"/>
              </w:numPr>
              <w:spacing w:before="40" w:after="40" w:line="240" w:lineRule="auto"/>
              <w:ind w:left="170" w:hanging="170"/>
              <w:jc w:val="both"/>
              <w:rPr>
                <w:rFonts w:ascii="Garamond" w:eastAsia="Times New Roman" w:hAnsi="Garamond" w:cs="Arial"/>
                <w:sz w:val="16"/>
                <w:szCs w:val="16"/>
              </w:rPr>
            </w:pPr>
            <w:r w:rsidRPr="00576902">
              <w:rPr>
                <w:rFonts w:ascii="Garamond" w:eastAsia="Times New Roman" w:hAnsi="Garamond" w:cs="Arial"/>
                <w:sz w:val="16"/>
                <w:szCs w:val="16"/>
              </w:rPr>
              <w:t>Liczba osób zagrożonych ubóstwem lub wykluczeniem społecznym pracujących po op</w:t>
            </w:r>
            <w:r w:rsidR="000E66AA" w:rsidRPr="00576902">
              <w:rPr>
                <w:rFonts w:ascii="Garamond" w:eastAsia="Times New Roman" w:hAnsi="Garamond" w:cs="Arial"/>
                <w:sz w:val="16"/>
                <w:szCs w:val="16"/>
              </w:rPr>
              <w:t>uszczeniu programu  –  7 osób</w:t>
            </w:r>
          </w:p>
          <w:p w:rsidR="007C60EA" w:rsidRPr="00576902" w:rsidRDefault="007C60EA" w:rsidP="007C60EA">
            <w:pPr>
              <w:pStyle w:val="Akapitzlist"/>
              <w:numPr>
                <w:ilvl w:val="0"/>
                <w:numId w:val="72"/>
              </w:numPr>
              <w:spacing w:after="0" w:line="23" w:lineRule="atLeast"/>
              <w:ind w:left="170" w:hanging="170"/>
              <w:jc w:val="both"/>
              <w:rPr>
                <w:rFonts w:ascii="Garamond" w:hAnsi="Garamond"/>
                <w:sz w:val="16"/>
                <w:szCs w:val="16"/>
              </w:rPr>
            </w:pPr>
            <w:r w:rsidRPr="00576902">
              <w:rPr>
                <w:rFonts w:ascii="Garamond" w:eastAsia="Times New Roman" w:hAnsi="Garamond" w:cs="Arial"/>
                <w:sz w:val="16"/>
                <w:szCs w:val="16"/>
              </w:rPr>
              <w:t>Liczba osób zagrożonych ubóstwem lub wykluczeniem społecznym pracujących  po opuszczeniu programu (łącznie z pracując</w:t>
            </w:r>
            <w:r w:rsidR="000E66AA" w:rsidRPr="00576902">
              <w:rPr>
                <w:rFonts w:ascii="Garamond" w:eastAsia="Times New Roman" w:hAnsi="Garamond" w:cs="Arial"/>
                <w:sz w:val="16"/>
                <w:szCs w:val="16"/>
              </w:rPr>
              <w:t>ymi na własny rachunek) – 5 osób</w:t>
            </w:r>
          </w:p>
          <w:p w:rsidR="007C60EA" w:rsidRPr="00576902" w:rsidRDefault="007C60EA" w:rsidP="007C60EA">
            <w:pPr>
              <w:pStyle w:val="Akapitzlist"/>
              <w:numPr>
                <w:ilvl w:val="0"/>
                <w:numId w:val="72"/>
              </w:numPr>
              <w:spacing w:after="0" w:line="23" w:lineRule="atLeast"/>
              <w:ind w:left="170" w:hanging="170"/>
              <w:jc w:val="both"/>
              <w:rPr>
                <w:rFonts w:ascii="Garamond" w:hAnsi="Garamond"/>
                <w:sz w:val="16"/>
                <w:szCs w:val="16"/>
              </w:rPr>
            </w:pPr>
            <w:r w:rsidRPr="00576902">
              <w:rPr>
                <w:rFonts w:ascii="Garamond" w:eastAsia="Times New Roman" w:hAnsi="Garamond" w:cs="Arial"/>
                <w:sz w:val="16"/>
                <w:szCs w:val="16"/>
              </w:rPr>
              <w:t>Liczba osób zagrożonych ubóstwem lub wykluczeniem społecznym pracujących 6 miesięcy po opuszczeniu programu (łącznie z pracującymi na własny rachunek) – 2 osoby</w:t>
            </w:r>
          </w:p>
          <w:p w:rsidR="007C60EA" w:rsidRPr="00576902" w:rsidRDefault="007C60EA" w:rsidP="007C60EA">
            <w:pPr>
              <w:pStyle w:val="NormalnyWeb"/>
              <w:numPr>
                <w:ilvl w:val="0"/>
                <w:numId w:val="72"/>
              </w:numPr>
              <w:spacing w:before="0" w:beforeAutospacing="0" w:after="0" w:afterAutospacing="0" w:line="23" w:lineRule="atLeast"/>
              <w:ind w:left="170" w:hanging="170"/>
              <w:jc w:val="both"/>
              <w:rPr>
                <w:rFonts w:ascii="Garamond" w:hAnsi="Garamond"/>
                <w:sz w:val="16"/>
                <w:szCs w:val="16"/>
              </w:rPr>
            </w:pPr>
            <w:r w:rsidRPr="00576902">
              <w:rPr>
                <w:rFonts w:ascii="Garamond" w:hAnsi="Garamond"/>
                <w:sz w:val="16"/>
                <w:szCs w:val="16"/>
              </w:rPr>
              <w:t>Liczba osób zagrożonych ubóstwem lub wykluczeniem społecznym obj</w:t>
            </w:r>
            <w:r w:rsidR="000E66AA" w:rsidRPr="00576902">
              <w:rPr>
                <w:rFonts w:ascii="Garamond" w:hAnsi="Garamond"/>
                <w:sz w:val="16"/>
                <w:szCs w:val="16"/>
              </w:rPr>
              <w:t>ętych wsparciem w programie – 20</w:t>
            </w:r>
            <w:r w:rsidRPr="00576902">
              <w:rPr>
                <w:rFonts w:ascii="Garamond" w:hAnsi="Garamond"/>
                <w:sz w:val="16"/>
                <w:szCs w:val="16"/>
              </w:rPr>
              <w:t xml:space="preserve"> osoby</w:t>
            </w:r>
          </w:p>
          <w:p w:rsidR="002B4AE7" w:rsidRPr="00576902" w:rsidRDefault="007C60EA" w:rsidP="007C60EA">
            <w:pPr>
              <w:pStyle w:val="Akapitzlist"/>
              <w:spacing w:before="40" w:after="40" w:line="240" w:lineRule="auto"/>
              <w:ind w:left="170"/>
              <w:jc w:val="both"/>
              <w:rPr>
                <w:rFonts w:ascii="Garamond" w:eastAsia="Times New Roman" w:hAnsi="Garamond" w:cs="Arial"/>
                <w:sz w:val="16"/>
                <w:szCs w:val="16"/>
              </w:rPr>
            </w:pPr>
            <w:r w:rsidRPr="00576902">
              <w:rPr>
                <w:rFonts w:ascii="Garamond" w:hAnsi="Garamond" w:cs="Arial"/>
                <w:sz w:val="16"/>
                <w:szCs w:val="16"/>
              </w:rPr>
              <w:t>Liczba osób z niepełnosprawnościami objętych wsparciem w programie –  1 osoba</w:t>
            </w:r>
          </w:p>
        </w:tc>
      </w:tr>
      <w:tr w:rsidR="00C613D1" w:rsidRPr="00C613D1" w:rsidTr="00324C7B">
        <w:trPr>
          <w:trHeight w:val="694"/>
        </w:trPr>
        <w:tc>
          <w:tcPr>
            <w:tcW w:w="173" w:type="pct"/>
            <w:shd w:val="clear" w:color="auto" w:fill="auto"/>
            <w:noWrap/>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52</w:t>
            </w:r>
          </w:p>
        </w:tc>
        <w:tc>
          <w:tcPr>
            <w:tcW w:w="754" w:type="pct"/>
            <w:shd w:val="clear" w:color="auto" w:fill="auto"/>
            <w:vAlign w:val="center"/>
          </w:tcPr>
          <w:p w:rsidR="000326FF" w:rsidRPr="00C613D1" w:rsidRDefault="000326FF" w:rsidP="00324C7B">
            <w:pPr>
              <w:pStyle w:val="Tekstpodstawowy"/>
              <w:snapToGrid w:val="0"/>
              <w:spacing w:before="40" w:after="40"/>
              <w:rPr>
                <w:rFonts w:ascii="Garamond" w:hAnsi="Garamond"/>
                <w:bCs/>
                <w:color w:val="000000" w:themeColor="text1"/>
                <w:sz w:val="16"/>
                <w:szCs w:val="16"/>
                <w:highlight w:val="yellow"/>
              </w:rPr>
            </w:pPr>
            <w:r w:rsidRPr="00C613D1">
              <w:rPr>
                <w:rFonts w:ascii="Garamond" w:hAnsi="Garamond"/>
                <w:bCs/>
                <w:color w:val="000000" w:themeColor="text1"/>
                <w:sz w:val="16"/>
                <w:szCs w:val="16"/>
              </w:rPr>
              <w:t xml:space="preserve">Młodzi naukowcy </w:t>
            </w:r>
          </w:p>
        </w:tc>
        <w:tc>
          <w:tcPr>
            <w:tcW w:w="401" w:type="pct"/>
            <w:shd w:val="clear" w:color="auto" w:fill="auto"/>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Zbiczno</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01.06.2016-30.09.2018</w:t>
            </w:r>
          </w:p>
        </w:tc>
        <w:tc>
          <w:tcPr>
            <w:tcW w:w="351" w:type="pct"/>
            <w:shd w:val="clear" w:color="auto" w:fill="auto"/>
            <w:vAlign w:val="center"/>
          </w:tcPr>
          <w:p w:rsidR="000326FF" w:rsidRPr="00C613D1" w:rsidRDefault="000326FF" w:rsidP="00324C7B">
            <w:pPr>
              <w:spacing w:before="40" w:after="40" w:line="240" w:lineRule="auto"/>
              <w:rPr>
                <w:rFonts w:ascii="Garamond" w:hAnsi="Garamond"/>
                <w:color w:val="000000" w:themeColor="text1"/>
                <w:sz w:val="16"/>
                <w:szCs w:val="16"/>
              </w:rPr>
            </w:pPr>
            <w:r w:rsidRPr="00C613D1">
              <w:rPr>
                <w:rFonts w:ascii="Garamond" w:hAnsi="Garamond"/>
                <w:color w:val="000000" w:themeColor="text1"/>
                <w:sz w:val="16"/>
                <w:szCs w:val="16"/>
              </w:rPr>
              <w:t>Gmina Zbiczno</w:t>
            </w:r>
          </w:p>
        </w:tc>
        <w:tc>
          <w:tcPr>
            <w:tcW w:w="401" w:type="pct"/>
            <w:shd w:val="clear" w:color="auto" w:fill="auto"/>
            <w:noWrap/>
            <w:vAlign w:val="center"/>
            <w:hideMark/>
          </w:tcPr>
          <w:p w:rsidR="000326FF" w:rsidRPr="00C613D1" w:rsidRDefault="000326FF" w:rsidP="00324C7B">
            <w:pPr>
              <w:spacing w:before="40" w:after="40" w:line="240" w:lineRule="auto"/>
              <w:jc w:val="right"/>
              <w:rPr>
                <w:rFonts w:ascii="Garamond" w:hAnsi="Garamond"/>
                <w:color w:val="000000" w:themeColor="text1"/>
                <w:sz w:val="16"/>
                <w:szCs w:val="16"/>
              </w:rPr>
            </w:pPr>
            <w:r w:rsidRPr="00C613D1">
              <w:rPr>
                <w:rFonts w:ascii="Garamond" w:hAnsi="Garamond"/>
                <w:color w:val="000000" w:themeColor="text1"/>
                <w:sz w:val="16"/>
                <w:szCs w:val="16"/>
              </w:rPr>
              <w:t xml:space="preserve">210 000,00 </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178 500,00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10 500,00</w:t>
            </w:r>
          </w:p>
          <w:p w:rsidR="00886644"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krajowe</w:t>
            </w:r>
          </w:p>
          <w:p w:rsidR="00886644" w:rsidRPr="00C613D1" w:rsidRDefault="00886644"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21 000,00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hideMark/>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10i</w:t>
            </w:r>
          </w:p>
        </w:tc>
        <w:tc>
          <w:tcPr>
            <w:tcW w:w="1117" w:type="pct"/>
            <w:shd w:val="clear" w:color="auto" w:fill="auto"/>
            <w:vAlign w:val="center"/>
            <w:hideMark/>
          </w:tcPr>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którzy  uzyskali  kwalifikacje lub nabyli kompetencje  po  opuszczeniu  programu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uczniów, którzy nabyli kompetencje kluczowe po opuszczeniu programu – 116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i placówek systemu oświaty wykorzystujących sprzęt TIK do prowadzenia zajęć edukacyjnych – 1 szkoła</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w których pracownie przedmiotowe wykorzystują doposażenie do prowadzenia zajęć edukacyjnych – 1 szkoła</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lastRenderedPageBreak/>
              <w:t>Liczba nauczycieli prowadzących zajęcia z wykorzystaniem TIK dzięki EFS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objętych wsparciem w zakresie TIK w ramach programu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nauczycieli objętych wsparciem w programie – 20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uczniów objętych wsparciem w zakresie rozwijania kompetencji kluczowych w programie – 116 osób</w:t>
            </w:r>
          </w:p>
          <w:p w:rsidR="000326FF" w:rsidRPr="00C613D1" w:rsidRDefault="000326FF" w:rsidP="00324C7B">
            <w:pPr>
              <w:pStyle w:val="Akapitzlist"/>
              <w:numPr>
                <w:ilvl w:val="0"/>
                <w:numId w:val="130"/>
              </w:numPr>
              <w:ind w:left="170" w:hanging="170"/>
              <w:jc w:val="both"/>
              <w:rPr>
                <w:rFonts w:ascii="Garamond" w:hAnsi="Garamond"/>
                <w:color w:val="000000" w:themeColor="text1"/>
                <w:sz w:val="16"/>
              </w:rPr>
            </w:pPr>
            <w:r w:rsidRPr="00C613D1">
              <w:rPr>
                <w:rFonts w:ascii="Garamond" w:hAnsi="Garamond"/>
                <w:color w:val="000000" w:themeColor="text1"/>
                <w:sz w:val="16"/>
              </w:rPr>
              <w:t>Liczba szkół i placówek systemu oświaty wyposażonych w ramach programu w sprzęt TIK do prowadzenia zajęć edukacyjnych –  1 szkoła</w:t>
            </w:r>
          </w:p>
          <w:p w:rsidR="000326FF" w:rsidRPr="00C613D1" w:rsidRDefault="000326FF" w:rsidP="00324C7B">
            <w:pPr>
              <w:pStyle w:val="Akapitzlist"/>
              <w:numPr>
                <w:ilvl w:val="0"/>
                <w:numId w:val="130"/>
              </w:numPr>
              <w:spacing w:after="0"/>
              <w:ind w:left="170" w:hanging="170"/>
              <w:jc w:val="both"/>
              <w:rPr>
                <w:color w:val="000000" w:themeColor="text1"/>
              </w:rPr>
            </w:pPr>
            <w:r w:rsidRPr="00C613D1">
              <w:rPr>
                <w:rFonts w:ascii="Garamond" w:hAnsi="Garamond"/>
                <w:color w:val="000000" w:themeColor="text1"/>
                <w:sz w:val="16"/>
              </w:rPr>
              <w:t>Liczba szkół, których pracownie przedmiotowe zostały doposażone w programie – 1 szkoła</w:t>
            </w:r>
            <w:r w:rsidRPr="00C613D1">
              <w:rPr>
                <w:color w:val="000000" w:themeColor="text1"/>
                <w:sz w:val="16"/>
              </w:rPr>
              <w:t xml:space="preserve"> </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55</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Dzienny dom „SENIOR-WIGOR</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t>Gmina Bartniczka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Wzmocnienie integracji społecznej i dostosowanie systemu opieki zdrowotnej do sytuacji demograficznej</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Rozwój usług opiekuńczych skierowanych do osób starszych i niepełnosprawnych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09.2017-09.2020</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Gmina Bartniczka</w:t>
            </w:r>
          </w:p>
        </w:tc>
        <w:tc>
          <w:tcPr>
            <w:tcW w:w="401" w:type="pct"/>
            <w:shd w:val="clear" w:color="auto" w:fill="auto"/>
            <w:noWrap/>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700 000,00</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630 000,00</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70 000,00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Wkład krajowy</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35 000,00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9iv</w:t>
            </w:r>
          </w:p>
        </w:tc>
        <w:tc>
          <w:tcPr>
            <w:tcW w:w="1117" w:type="pct"/>
            <w:shd w:val="clear" w:color="auto" w:fill="auto"/>
            <w:vAlign w:val="center"/>
          </w:tcPr>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utworzonych miejsc pracy- 4</w:t>
            </w:r>
          </w:p>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osób starszych objętych pomocą – 15 osób</w:t>
            </w:r>
          </w:p>
          <w:p w:rsidR="000326FF" w:rsidRPr="00C613D1" w:rsidRDefault="000326FF" w:rsidP="00324C7B">
            <w:pPr>
              <w:pStyle w:val="Akapitzlist"/>
              <w:numPr>
                <w:ilvl w:val="0"/>
                <w:numId w:val="107"/>
              </w:numPr>
              <w:spacing w:before="40" w:after="40" w:line="240" w:lineRule="auto"/>
              <w:ind w:left="170" w:hanging="170"/>
              <w:jc w:val="both"/>
              <w:rPr>
                <w:rFonts w:ascii="Garamond" w:hAnsi="Garamond" w:cs="Arial"/>
                <w:color w:val="000000" w:themeColor="text1"/>
                <w:sz w:val="16"/>
                <w:szCs w:val="16"/>
              </w:rPr>
            </w:pPr>
            <w:r w:rsidRPr="00C613D1">
              <w:rPr>
                <w:rFonts w:ascii="Garamond" w:hAnsi="Garamond" w:cs="Arial"/>
                <w:color w:val="000000" w:themeColor="text1"/>
                <w:sz w:val="16"/>
                <w:szCs w:val="16"/>
              </w:rPr>
              <w:t>Liczba wspartych w programie miejsc świadczenia usług społecznych istniejących po zakończeniu projektu – 1 szt.</w:t>
            </w:r>
          </w:p>
        </w:tc>
      </w:tr>
      <w:tr w:rsidR="00C613D1"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56</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Poprawa jakości edukacji przedszkolnej w Gminie Brodnica</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t>Gmina Brodnica</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Niepełne dopasowanie oferty edukacyjnej do potrzeb rynku 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2018</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 xml:space="preserve">Gmina Brodnica </w:t>
            </w:r>
          </w:p>
        </w:tc>
        <w:tc>
          <w:tcPr>
            <w:tcW w:w="401" w:type="pct"/>
            <w:shd w:val="clear" w:color="auto" w:fill="auto"/>
            <w:noWrap/>
            <w:vAlign w:val="center"/>
          </w:tcPr>
          <w:p w:rsidR="000326FF" w:rsidRPr="00C613D1" w:rsidRDefault="00C613D1" w:rsidP="00492F4D">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104 399,98</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692A74" w:rsidP="00324C7B">
            <w:pPr>
              <w:pStyle w:val="Akapitzlist"/>
              <w:spacing w:before="40" w:after="40" w:line="240" w:lineRule="auto"/>
              <w:ind w:left="170"/>
              <w:rPr>
                <w:rFonts w:ascii="Garamond" w:eastAsia="Times New Roman" w:hAnsi="Garamond" w:cs="Arial"/>
                <w:bCs/>
                <w:color w:val="000000" w:themeColor="text1"/>
                <w:sz w:val="16"/>
                <w:szCs w:val="16"/>
              </w:rPr>
            </w:pPr>
            <w:r>
              <w:rPr>
                <w:rFonts w:ascii="Garamond" w:eastAsia="Times New Roman" w:hAnsi="Garamond" w:cs="Arial"/>
                <w:bCs/>
                <w:color w:val="000000" w:themeColor="text1"/>
                <w:sz w:val="16"/>
                <w:szCs w:val="16"/>
              </w:rPr>
              <w:t>88 739,98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Środki własne</w:t>
            </w:r>
          </w:p>
          <w:p w:rsidR="000326FF" w:rsidRPr="00C613D1" w:rsidRDefault="00021742"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15 660</w:t>
            </w:r>
            <w:r w:rsidR="000326FF" w:rsidRPr="00C613D1">
              <w:rPr>
                <w:rFonts w:ascii="Garamond" w:eastAsia="Times New Roman" w:hAnsi="Garamond" w:cs="Arial"/>
                <w:bCs/>
                <w:color w:val="000000" w:themeColor="text1"/>
                <w:sz w:val="16"/>
                <w:szCs w:val="16"/>
              </w:rPr>
              <w:t>,00</w:t>
            </w:r>
          </w:p>
          <w:p w:rsidR="000326FF" w:rsidRPr="00C613D1" w:rsidRDefault="000326FF" w:rsidP="00324C7B">
            <w:pPr>
              <w:pStyle w:val="Akapitzlist"/>
              <w:spacing w:before="40" w:after="40" w:line="240" w:lineRule="auto"/>
              <w:ind w:left="170"/>
              <w:rPr>
                <w:rFonts w:ascii="Garamond" w:eastAsia="Times New Roman" w:hAnsi="Garamond" w:cs="Arial"/>
                <w:bCs/>
                <w:color w:val="000000" w:themeColor="text1"/>
                <w:sz w:val="16"/>
                <w:szCs w:val="16"/>
              </w:rPr>
            </w:pP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t>10i</w:t>
            </w:r>
          </w:p>
        </w:tc>
        <w:tc>
          <w:tcPr>
            <w:tcW w:w="1117" w:type="pct"/>
            <w:shd w:val="clear" w:color="auto" w:fill="auto"/>
            <w:vAlign w:val="center"/>
          </w:tcPr>
          <w:p w:rsidR="000326FF" w:rsidRPr="00C613D1" w:rsidRDefault="000326FF" w:rsidP="00324C7B">
            <w:pPr>
              <w:pStyle w:val="Akapitzlist"/>
              <w:numPr>
                <w:ilvl w:val="0"/>
                <w:numId w:val="107"/>
              </w:numPr>
              <w:spacing w:before="40" w:after="40" w:line="23" w:lineRule="atLeast"/>
              <w:jc w:val="both"/>
              <w:rPr>
                <w:rFonts w:ascii="Garamond" w:hAnsi="Garamond"/>
                <w:color w:val="000000" w:themeColor="text1"/>
                <w:sz w:val="16"/>
                <w:szCs w:val="16"/>
              </w:rPr>
            </w:pPr>
            <w:r w:rsidRPr="00C613D1">
              <w:rPr>
                <w:rFonts w:ascii="Garamond" w:hAnsi="Garamond"/>
                <w:color w:val="000000" w:themeColor="text1"/>
                <w:sz w:val="16"/>
                <w:szCs w:val="16"/>
              </w:rPr>
              <w:t>Liczba miejsc wychowania przedszkolnego, które funkcjonują 2 lata po uzyskaniu dofinansowania z EFS –</w:t>
            </w:r>
            <w:r w:rsidR="0087186D" w:rsidRPr="00C613D1">
              <w:rPr>
                <w:rFonts w:ascii="Garamond" w:hAnsi="Garamond"/>
                <w:color w:val="000000" w:themeColor="text1"/>
                <w:sz w:val="16"/>
                <w:szCs w:val="16"/>
              </w:rPr>
              <w:t>100%</w:t>
            </w:r>
            <w:r w:rsidRPr="00C613D1">
              <w:rPr>
                <w:rFonts w:ascii="Garamond" w:hAnsi="Garamond"/>
                <w:color w:val="000000" w:themeColor="text1"/>
                <w:sz w:val="16"/>
                <w:szCs w:val="16"/>
              </w:rPr>
              <w: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nauczycieli, którzy uzyskali kwalifikacje lub nabyli kompetencje po opuszczeniu</w:t>
            </w:r>
            <w:r w:rsidR="0087186D" w:rsidRPr="00C613D1">
              <w:rPr>
                <w:rFonts w:ascii="Garamond" w:hAnsi="Garamond"/>
                <w:color w:val="000000" w:themeColor="text1"/>
                <w:sz w:val="16"/>
              </w:rPr>
              <w:t xml:space="preserve"> programu –  1</w:t>
            </w:r>
            <w:r w:rsidRPr="00C613D1">
              <w:rPr>
                <w:rFonts w:ascii="Garamond" w:hAnsi="Garamond"/>
                <w:color w:val="000000" w:themeColor="text1"/>
                <w:sz w:val="16"/>
              </w:rPr>
              <w:t xml:space="preserve"> osoby</w:t>
            </w:r>
          </w:p>
          <w:p w:rsidR="000326FF" w:rsidRPr="00C613D1" w:rsidRDefault="000326FF" w:rsidP="00324C7B">
            <w:pPr>
              <w:pStyle w:val="Akapitzlist"/>
              <w:widowControl w:val="0"/>
              <w:autoSpaceDE w:val="0"/>
              <w:autoSpaceDN w:val="0"/>
              <w:adjustRightInd w:val="0"/>
              <w:spacing w:after="0" w:line="6" w:lineRule="atLeast"/>
              <w:ind w:left="360"/>
              <w:jc w:val="both"/>
              <w:rPr>
                <w:rFonts w:ascii="Garamond" w:hAnsi="Garamond"/>
                <w:color w:val="000000" w:themeColor="text1"/>
                <w:sz w:val="16"/>
              </w:rPr>
            </w:pP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dzieci objętych w ramach programu dodatkowymi zajęciami zwiększającymi ich szanse edukacyjne</w:t>
            </w:r>
            <w:r w:rsidR="0087186D" w:rsidRPr="00C613D1">
              <w:rPr>
                <w:rFonts w:ascii="Garamond" w:hAnsi="Garamond"/>
                <w:color w:val="000000" w:themeColor="text1"/>
                <w:sz w:val="16"/>
                <w:szCs w:val="16"/>
              </w:rPr>
              <w:t xml:space="preserve"> w edukacji przedszkolnej –  160</w:t>
            </w:r>
            <w:r w:rsidRPr="00C613D1">
              <w:rPr>
                <w:rFonts w:ascii="Garamond" w:hAnsi="Garamond"/>
                <w:color w:val="000000" w:themeColor="text1"/>
                <w:sz w:val="16"/>
                <w:szCs w:val="16"/>
              </w:rPr>
              <w:t xml:space="preserve">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miejsc wychowania przedszkolnego dofinansowanych </w:t>
            </w:r>
            <w:r w:rsidR="0087186D" w:rsidRPr="00C613D1">
              <w:rPr>
                <w:rFonts w:ascii="Garamond" w:hAnsi="Garamond"/>
                <w:color w:val="000000" w:themeColor="text1"/>
                <w:sz w:val="16"/>
                <w:szCs w:val="16"/>
              </w:rPr>
              <w:t>w programie –75</w:t>
            </w:r>
            <w:r w:rsidRPr="00C613D1">
              <w:rPr>
                <w:rFonts w:ascii="Garamond" w:hAnsi="Garamond"/>
                <w:color w:val="000000" w:themeColor="text1"/>
                <w:sz w:val="16"/>
                <w:szCs w:val="16"/>
              </w:rPr>
              <w:t xml:space="preserve"> szt.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nauczycieli objętych wsparciem w  </w:t>
            </w:r>
            <w:r w:rsidR="0087186D" w:rsidRPr="00C613D1">
              <w:rPr>
                <w:rFonts w:ascii="Garamond" w:hAnsi="Garamond"/>
                <w:color w:val="000000" w:themeColor="text1"/>
                <w:sz w:val="16"/>
                <w:szCs w:val="16"/>
              </w:rPr>
              <w:t xml:space="preserve"> </w:t>
            </w:r>
            <w:proofErr w:type="spellStart"/>
            <w:r w:rsidR="0087186D" w:rsidRPr="00C613D1">
              <w:rPr>
                <w:rFonts w:ascii="Garamond" w:hAnsi="Garamond"/>
                <w:color w:val="000000" w:themeColor="text1"/>
                <w:sz w:val="16"/>
                <w:szCs w:val="16"/>
              </w:rPr>
              <w:t>w</w:t>
            </w:r>
            <w:proofErr w:type="spellEnd"/>
            <w:r w:rsidR="0087186D" w:rsidRPr="00C613D1">
              <w:rPr>
                <w:rFonts w:ascii="Garamond" w:hAnsi="Garamond"/>
                <w:color w:val="000000" w:themeColor="text1"/>
                <w:sz w:val="16"/>
                <w:szCs w:val="16"/>
              </w:rPr>
              <w:t xml:space="preserve">  programie</w:t>
            </w:r>
            <w:r w:rsidRPr="00C613D1">
              <w:rPr>
                <w:rFonts w:ascii="Garamond" w:hAnsi="Garamond"/>
                <w:color w:val="000000" w:themeColor="text1"/>
                <w:sz w:val="16"/>
                <w:szCs w:val="16"/>
              </w:rPr>
              <w:t>-</w:t>
            </w:r>
            <w:r w:rsidR="0087186D" w:rsidRPr="00C613D1">
              <w:rPr>
                <w:rFonts w:ascii="Garamond" w:hAnsi="Garamond"/>
                <w:color w:val="000000" w:themeColor="text1"/>
                <w:sz w:val="16"/>
                <w:szCs w:val="16"/>
              </w:rPr>
              <w:t xml:space="preserve"> 1</w:t>
            </w:r>
            <w:r w:rsidRPr="00C613D1">
              <w:rPr>
                <w:rFonts w:ascii="Garamond" w:hAnsi="Garamond"/>
                <w:color w:val="000000" w:themeColor="text1"/>
                <w:sz w:val="16"/>
                <w:szCs w:val="16"/>
              </w:rPr>
              <w:t xml:space="preserve"> osoby</w:t>
            </w:r>
          </w:p>
          <w:p w:rsidR="000326FF" w:rsidRPr="00C613D1" w:rsidRDefault="000326FF" w:rsidP="00324C7B">
            <w:pPr>
              <w:pStyle w:val="Akapitzlist"/>
              <w:widowControl w:val="0"/>
              <w:autoSpaceDE w:val="0"/>
              <w:autoSpaceDN w:val="0"/>
              <w:adjustRightInd w:val="0"/>
              <w:spacing w:after="0" w:line="6" w:lineRule="atLeast"/>
              <w:ind w:left="360"/>
              <w:jc w:val="both"/>
              <w:rPr>
                <w:rFonts w:ascii="Garamond" w:hAnsi="Garamond"/>
                <w:color w:val="000000" w:themeColor="text1"/>
                <w:sz w:val="16"/>
              </w:rPr>
            </w:pPr>
          </w:p>
          <w:p w:rsidR="000326FF" w:rsidRPr="00C613D1" w:rsidRDefault="000326FF" w:rsidP="0087186D">
            <w:pPr>
              <w:pStyle w:val="Akapitzlist"/>
              <w:spacing w:before="40" w:after="40" w:line="23" w:lineRule="atLeast"/>
              <w:ind w:left="360"/>
              <w:jc w:val="both"/>
              <w:rPr>
                <w:rFonts w:ascii="Garamond" w:hAnsi="Garamond" w:cs="Arial"/>
                <w:color w:val="000000" w:themeColor="text1"/>
                <w:sz w:val="16"/>
                <w:szCs w:val="16"/>
              </w:rPr>
            </w:pPr>
          </w:p>
        </w:tc>
      </w:tr>
      <w:tr w:rsidR="000326FF" w:rsidRPr="00C613D1" w:rsidTr="00324C7B">
        <w:trPr>
          <w:trHeight w:val="20"/>
        </w:trPr>
        <w:tc>
          <w:tcPr>
            <w:tcW w:w="173" w:type="pct"/>
            <w:shd w:val="clear" w:color="auto" w:fill="auto"/>
            <w:noWrap/>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57</w:t>
            </w:r>
          </w:p>
        </w:tc>
        <w:tc>
          <w:tcPr>
            <w:tcW w:w="754" w:type="pct"/>
            <w:shd w:val="clear" w:color="auto" w:fill="auto"/>
            <w:vAlign w:val="center"/>
          </w:tcPr>
          <w:p w:rsidR="000326FF" w:rsidRPr="00C613D1" w:rsidRDefault="000326FF" w:rsidP="00324C7B">
            <w:pPr>
              <w:rPr>
                <w:rFonts w:ascii="Garamond" w:hAnsi="Garamond" w:cs="Arial"/>
                <w:color w:val="000000" w:themeColor="text1"/>
                <w:sz w:val="16"/>
                <w:szCs w:val="16"/>
              </w:rPr>
            </w:pPr>
            <w:r w:rsidRPr="00C613D1">
              <w:rPr>
                <w:rFonts w:ascii="Garamond" w:hAnsi="Garamond" w:cs="Arial"/>
                <w:color w:val="000000" w:themeColor="text1"/>
                <w:sz w:val="16"/>
                <w:szCs w:val="16"/>
              </w:rPr>
              <w:t xml:space="preserve">Równy dostęp do edukacji </w:t>
            </w:r>
            <w:r w:rsidRPr="00C613D1">
              <w:rPr>
                <w:rFonts w:ascii="Garamond" w:hAnsi="Garamond" w:cs="Arial"/>
                <w:color w:val="000000" w:themeColor="text1"/>
                <w:sz w:val="16"/>
                <w:szCs w:val="16"/>
              </w:rPr>
              <w:lastRenderedPageBreak/>
              <w:t>przedszkolnej</w:t>
            </w:r>
          </w:p>
        </w:tc>
        <w:tc>
          <w:tcPr>
            <w:tcW w:w="401" w:type="pct"/>
            <w:shd w:val="clear" w:color="auto" w:fill="auto"/>
            <w:vAlign w:val="center"/>
          </w:tcPr>
          <w:p w:rsidR="000326FF" w:rsidRPr="00C613D1" w:rsidRDefault="000326FF" w:rsidP="00324C7B">
            <w:pPr>
              <w:jc w:val="center"/>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 xml:space="preserve">Gmina </w:t>
            </w:r>
            <w:r w:rsidRPr="00C613D1">
              <w:rPr>
                <w:rFonts w:ascii="Garamond" w:hAnsi="Garamond" w:cs="Arial"/>
                <w:color w:val="000000" w:themeColor="text1"/>
                <w:sz w:val="16"/>
                <w:szCs w:val="16"/>
              </w:rPr>
              <w:lastRenderedPageBreak/>
              <w:t xml:space="preserve">Świedziebnia </w:t>
            </w:r>
          </w:p>
        </w:tc>
        <w:tc>
          <w:tcPr>
            <w:tcW w:w="801" w:type="pct"/>
            <w:shd w:val="clear" w:color="auto" w:fill="auto"/>
            <w:vAlign w:val="center"/>
          </w:tcPr>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lastRenderedPageBreak/>
              <w:t xml:space="preserve">Niepełne dopasowanie oferty edukacyjnej do potrzeb rynku </w:t>
            </w:r>
            <w:r w:rsidRPr="00C613D1">
              <w:rPr>
                <w:b w:val="0"/>
                <w:color w:val="000000" w:themeColor="text1"/>
                <w:sz w:val="16"/>
                <w:szCs w:val="16"/>
              </w:rPr>
              <w:lastRenderedPageBreak/>
              <w:t>pracy</w:t>
            </w: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p>
          <w:p w:rsidR="000326FF" w:rsidRPr="00C613D1" w:rsidRDefault="000326FF" w:rsidP="00324C7B">
            <w:pPr>
              <w:pStyle w:val="S1"/>
              <w:numPr>
                <w:ilvl w:val="0"/>
                <w:numId w:val="0"/>
              </w:numPr>
              <w:spacing w:before="40" w:after="40" w:line="240" w:lineRule="auto"/>
              <w:jc w:val="center"/>
              <w:rPr>
                <w:b w:val="0"/>
                <w:color w:val="000000" w:themeColor="text1"/>
                <w:sz w:val="16"/>
                <w:szCs w:val="16"/>
              </w:rPr>
            </w:pPr>
            <w:r w:rsidRPr="00C613D1">
              <w:rPr>
                <w:b w:val="0"/>
                <w:color w:val="000000" w:themeColor="text1"/>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2018</w:t>
            </w:r>
          </w:p>
        </w:tc>
        <w:tc>
          <w:tcPr>
            <w:tcW w:w="351" w:type="pct"/>
            <w:shd w:val="clear" w:color="auto" w:fill="auto"/>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 xml:space="preserve">Gmina </w:t>
            </w:r>
          </w:p>
          <w:p w:rsidR="000326FF" w:rsidRPr="00C613D1" w:rsidRDefault="000326FF" w:rsidP="00324C7B">
            <w:pPr>
              <w:spacing w:before="40" w:after="40"/>
              <w:rPr>
                <w:rFonts w:ascii="Garamond" w:hAnsi="Garamond" w:cs="Arial"/>
                <w:color w:val="000000" w:themeColor="text1"/>
                <w:sz w:val="16"/>
                <w:szCs w:val="16"/>
              </w:rPr>
            </w:pPr>
            <w:r w:rsidRPr="00C613D1">
              <w:rPr>
                <w:rFonts w:ascii="Garamond" w:hAnsi="Garamond" w:cs="Arial"/>
                <w:color w:val="000000" w:themeColor="text1"/>
                <w:sz w:val="16"/>
                <w:szCs w:val="16"/>
              </w:rPr>
              <w:t>Świedziebnia</w:t>
            </w:r>
          </w:p>
        </w:tc>
        <w:tc>
          <w:tcPr>
            <w:tcW w:w="401" w:type="pct"/>
            <w:shd w:val="clear" w:color="auto" w:fill="auto"/>
            <w:noWrap/>
            <w:vAlign w:val="center"/>
          </w:tcPr>
          <w:p w:rsidR="000326FF" w:rsidRPr="00C613D1" w:rsidRDefault="000326FF" w:rsidP="00EC41B0">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10</w:t>
            </w:r>
            <w:r w:rsidR="00EC41B0" w:rsidRPr="00C613D1">
              <w:rPr>
                <w:rFonts w:ascii="Garamond" w:hAnsi="Garamond" w:cs="Arial"/>
                <w:color w:val="000000" w:themeColor="text1"/>
                <w:sz w:val="16"/>
                <w:szCs w:val="16"/>
              </w:rPr>
              <w:t>4 781,75</w:t>
            </w:r>
          </w:p>
        </w:tc>
        <w:tc>
          <w:tcPr>
            <w:tcW w:w="501" w:type="pct"/>
            <w:shd w:val="clear" w:color="auto" w:fill="auto"/>
            <w:vAlign w:val="center"/>
          </w:tcPr>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EFS</w:t>
            </w:r>
          </w:p>
          <w:p w:rsidR="000326FF" w:rsidRPr="00C613D1" w:rsidRDefault="00EC41B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89 064,48</w:t>
            </w:r>
          </w:p>
          <w:p w:rsidR="000326FF" w:rsidRPr="00C613D1" w:rsidRDefault="000326FF" w:rsidP="00324C7B">
            <w:pPr>
              <w:pStyle w:val="Akapitzlist"/>
              <w:numPr>
                <w:ilvl w:val="0"/>
                <w:numId w:val="74"/>
              </w:numPr>
              <w:spacing w:before="40" w:after="40" w:line="240" w:lineRule="auto"/>
              <w:ind w:left="170" w:hanging="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lastRenderedPageBreak/>
              <w:t>Środki własne</w:t>
            </w:r>
          </w:p>
          <w:p w:rsidR="000326FF" w:rsidRPr="00C613D1" w:rsidRDefault="00EC41B0" w:rsidP="00324C7B">
            <w:pPr>
              <w:pStyle w:val="Akapitzlist"/>
              <w:spacing w:before="40" w:after="40" w:line="240" w:lineRule="auto"/>
              <w:ind w:left="170"/>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15 717,27</w:t>
            </w:r>
          </w:p>
        </w:tc>
        <w:tc>
          <w:tcPr>
            <w:tcW w:w="150" w:type="pct"/>
            <w:shd w:val="clear" w:color="auto" w:fill="auto"/>
            <w:vAlign w:val="center"/>
          </w:tcPr>
          <w:p w:rsidR="000326FF" w:rsidRPr="00C613D1" w:rsidRDefault="000326FF" w:rsidP="00324C7B">
            <w:pPr>
              <w:spacing w:before="40" w:after="40"/>
              <w:jc w:val="center"/>
              <w:rPr>
                <w:rFonts w:ascii="Garamond" w:hAnsi="Garamond" w:cs="Arial"/>
                <w:color w:val="000000" w:themeColor="text1"/>
                <w:sz w:val="16"/>
                <w:szCs w:val="16"/>
              </w:rPr>
            </w:pPr>
            <w:r w:rsidRPr="00C613D1">
              <w:rPr>
                <w:rFonts w:ascii="Garamond" w:hAnsi="Garamond" w:cs="Arial"/>
                <w:color w:val="000000" w:themeColor="text1"/>
                <w:sz w:val="16"/>
                <w:szCs w:val="16"/>
              </w:rPr>
              <w:lastRenderedPageBreak/>
              <w:t>10i</w:t>
            </w:r>
          </w:p>
        </w:tc>
        <w:tc>
          <w:tcPr>
            <w:tcW w:w="1117" w:type="pct"/>
            <w:shd w:val="clear" w:color="auto" w:fill="auto"/>
            <w:vAlign w:val="center"/>
          </w:tcPr>
          <w:p w:rsidR="00881C78" w:rsidRPr="00C613D1"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m</w:t>
            </w:r>
            <w:r w:rsidR="00881C78" w:rsidRPr="00C613D1">
              <w:rPr>
                <w:rFonts w:ascii="Garamond" w:hAnsi="Garamond"/>
                <w:color w:val="000000" w:themeColor="text1"/>
                <w:sz w:val="16"/>
                <w:szCs w:val="16"/>
              </w:rPr>
              <w:t>iejsc wychowania przedszkolnego dofinansowanego w programie – 25</w:t>
            </w:r>
          </w:p>
          <w:p w:rsidR="000326FF" w:rsidRPr="00C613D1" w:rsidRDefault="000326FF" w:rsidP="00324C7B">
            <w:pPr>
              <w:pStyle w:val="Akapitzlist"/>
              <w:widowControl w:val="0"/>
              <w:numPr>
                <w:ilvl w:val="0"/>
                <w:numId w:val="107"/>
              </w:numPr>
              <w:autoSpaceDE w:val="0"/>
              <w:autoSpaceDN w:val="0"/>
              <w:adjustRightInd w:val="0"/>
              <w:spacing w:before="40" w:after="0" w:line="6" w:lineRule="atLeast"/>
              <w:jc w:val="both"/>
              <w:rPr>
                <w:rFonts w:ascii="Garamond" w:hAnsi="Garamond"/>
                <w:color w:val="000000" w:themeColor="text1"/>
                <w:sz w:val="16"/>
              </w:rPr>
            </w:pPr>
            <w:r w:rsidRPr="00C613D1">
              <w:rPr>
                <w:rFonts w:ascii="Garamond" w:hAnsi="Garamond"/>
                <w:color w:val="000000" w:themeColor="text1"/>
                <w:sz w:val="16"/>
              </w:rPr>
              <w:lastRenderedPageBreak/>
              <w:t>Liczba nauczycieli, którzy uzyskali kwalifikacje lub nabyli kompetencje po opuszczeniu programu – .2 osoby</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uczniów, którzy nabyli kompetencje kluczowe po opuszczeniu programu  - 25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rPr>
              <w:t>Liczba placówek systemu oświaty wykorzystujących metodę pedagogiki zabawy do prowadzenia zajęć edukacyjnych –  1 szt.</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dzieci objętych w ramach programu dodatkowymi zajęciami zwiększającymi ich szanse edukacyjne w edukacji przedszkolnej – 25 osób</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 xml:space="preserve">Liczba nauczycieli objętych wsparciem- 2 </w:t>
            </w:r>
            <w:r w:rsidR="00881C78" w:rsidRPr="00C613D1">
              <w:rPr>
                <w:rFonts w:ascii="Garamond" w:hAnsi="Garamond"/>
                <w:color w:val="000000" w:themeColor="text1"/>
                <w:sz w:val="16"/>
                <w:szCs w:val="16"/>
              </w:rPr>
              <w:t xml:space="preserve"> </w:t>
            </w:r>
          </w:p>
          <w:p w:rsidR="000326FF" w:rsidRPr="00C613D1" w:rsidRDefault="000326FF" w:rsidP="00324C7B">
            <w:pPr>
              <w:pStyle w:val="Akapitzlist"/>
              <w:widowControl w:val="0"/>
              <w:numPr>
                <w:ilvl w:val="0"/>
                <w:numId w:val="107"/>
              </w:numPr>
              <w:autoSpaceDE w:val="0"/>
              <w:autoSpaceDN w:val="0"/>
              <w:adjustRightInd w:val="0"/>
              <w:spacing w:after="0" w:line="6" w:lineRule="atLeast"/>
              <w:jc w:val="both"/>
              <w:rPr>
                <w:rFonts w:ascii="Garamond" w:hAnsi="Garamond"/>
                <w:color w:val="000000" w:themeColor="text1"/>
                <w:sz w:val="16"/>
              </w:rPr>
            </w:pPr>
            <w:r w:rsidRPr="00C613D1">
              <w:rPr>
                <w:rFonts w:ascii="Garamond" w:hAnsi="Garamond"/>
                <w:color w:val="000000" w:themeColor="text1"/>
                <w:sz w:val="16"/>
                <w:szCs w:val="16"/>
              </w:rPr>
              <w:t>Liczba uczniów objętych wsparciem w zakresie rozwijania kompetencji kluczowych w programie –  25 osób</w:t>
            </w:r>
          </w:p>
          <w:p w:rsidR="000326FF" w:rsidRPr="00C613D1" w:rsidRDefault="000326FF" w:rsidP="00324C7B">
            <w:pPr>
              <w:spacing w:before="40" w:after="40" w:line="240" w:lineRule="auto"/>
              <w:jc w:val="both"/>
              <w:rPr>
                <w:rFonts w:ascii="Garamond" w:hAnsi="Garamond" w:cs="Arial"/>
                <w:color w:val="000000" w:themeColor="text1"/>
                <w:sz w:val="16"/>
                <w:szCs w:val="16"/>
              </w:rPr>
            </w:pPr>
          </w:p>
        </w:tc>
      </w:tr>
      <w:tr w:rsidR="00C96A3C" w:rsidRPr="00C96A3C" w:rsidTr="00324C7B">
        <w:trPr>
          <w:trHeight w:val="20"/>
        </w:trPr>
        <w:tc>
          <w:tcPr>
            <w:tcW w:w="173" w:type="pct"/>
            <w:shd w:val="clear" w:color="auto" w:fill="auto"/>
            <w:noWrap/>
            <w:vAlign w:val="center"/>
          </w:tcPr>
          <w:p w:rsidR="000E66AA" w:rsidRPr="00576902" w:rsidRDefault="000E66AA"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lastRenderedPageBreak/>
              <w:t>58</w:t>
            </w:r>
          </w:p>
        </w:tc>
        <w:tc>
          <w:tcPr>
            <w:tcW w:w="754" w:type="pct"/>
            <w:shd w:val="clear" w:color="auto" w:fill="auto"/>
            <w:vAlign w:val="center"/>
          </w:tcPr>
          <w:p w:rsidR="000E66AA" w:rsidRPr="00576902" w:rsidRDefault="000E66AA" w:rsidP="00324C7B">
            <w:pPr>
              <w:rPr>
                <w:rFonts w:ascii="Garamond" w:hAnsi="Garamond" w:cs="Arial"/>
                <w:sz w:val="16"/>
                <w:szCs w:val="16"/>
              </w:rPr>
            </w:pPr>
            <w:r w:rsidRPr="00576902">
              <w:rPr>
                <w:rFonts w:ascii="Garamond" w:hAnsi="Garamond" w:cs="Arial"/>
                <w:sz w:val="16"/>
                <w:szCs w:val="16"/>
              </w:rPr>
              <w:t>Kształtowanie i rozwijanie u uczniów Szkoły Podstawowej w Świedziebni i Szkoły Podstawowej w Janowie kompetencji kluczowych i umiejętności uniwersalnych niezbędnych na rynku pracy</w:t>
            </w:r>
          </w:p>
        </w:tc>
        <w:tc>
          <w:tcPr>
            <w:tcW w:w="401" w:type="pct"/>
            <w:shd w:val="clear" w:color="auto" w:fill="auto"/>
            <w:vAlign w:val="center"/>
          </w:tcPr>
          <w:p w:rsidR="000E66AA" w:rsidRPr="00576902" w:rsidRDefault="000E66AA" w:rsidP="00324C7B">
            <w:pPr>
              <w:jc w:val="center"/>
              <w:rPr>
                <w:rFonts w:ascii="Garamond" w:hAnsi="Garamond" w:cs="Arial"/>
                <w:sz w:val="16"/>
                <w:szCs w:val="16"/>
              </w:rPr>
            </w:pPr>
            <w:r w:rsidRPr="00576902">
              <w:rPr>
                <w:rFonts w:ascii="Garamond" w:hAnsi="Garamond" w:cs="Arial"/>
                <w:sz w:val="16"/>
                <w:szCs w:val="16"/>
              </w:rPr>
              <w:t>Gmina Świedziebnia</w:t>
            </w:r>
          </w:p>
        </w:tc>
        <w:tc>
          <w:tcPr>
            <w:tcW w:w="801" w:type="pct"/>
            <w:shd w:val="clear" w:color="auto" w:fill="auto"/>
            <w:vAlign w:val="center"/>
          </w:tcPr>
          <w:p w:rsidR="000E66AA" w:rsidRPr="00576902" w:rsidRDefault="000E66AA" w:rsidP="000E66AA">
            <w:pPr>
              <w:pStyle w:val="S1"/>
              <w:numPr>
                <w:ilvl w:val="0"/>
                <w:numId w:val="0"/>
              </w:numPr>
              <w:spacing w:before="40" w:after="40" w:line="240" w:lineRule="auto"/>
              <w:jc w:val="center"/>
              <w:rPr>
                <w:b w:val="0"/>
                <w:color w:val="auto"/>
                <w:sz w:val="16"/>
                <w:szCs w:val="16"/>
              </w:rPr>
            </w:pPr>
            <w:r w:rsidRPr="00576902">
              <w:rPr>
                <w:b w:val="0"/>
                <w:color w:val="auto"/>
                <w:sz w:val="16"/>
                <w:szCs w:val="16"/>
              </w:rPr>
              <w:t>Niepełne dopasowanie oferty edukacyjnej do potrzeb rynku pracy</w:t>
            </w:r>
          </w:p>
          <w:p w:rsidR="000E66AA" w:rsidRPr="00576902" w:rsidRDefault="000E66AA" w:rsidP="000E66AA">
            <w:pPr>
              <w:pStyle w:val="S1"/>
              <w:numPr>
                <w:ilvl w:val="0"/>
                <w:numId w:val="0"/>
              </w:numPr>
              <w:spacing w:before="40" w:after="40" w:line="240" w:lineRule="auto"/>
              <w:jc w:val="center"/>
              <w:rPr>
                <w:b w:val="0"/>
                <w:color w:val="auto"/>
                <w:sz w:val="16"/>
                <w:szCs w:val="16"/>
              </w:rPr>
            </w:pPr>
          </w:p>
          <w:p w:rsidR="000E66AA" w:rsidRPr="00576902" w:rsidRDefault="000E66AA" w:rsidP="000E66AA">
            <w:pPr>
              <w:pStyle w:val="S1"/>
              <w:numPr>
                <w:ilvl w:val="0"/>
                <w:numId w:val="0"/>
              </w:numPr>
              <w:spacing w:before="40" w:after="40" w:line="240" w:lineRule="auto"/>
              <w:jc w:val="center"/>
              <w:rPr>
                <w:b w:val="0"/>
                <w:color w:val="auto"/>
                <w:sz w:val="16"/>
                <w:szCs w:val="16"/>
              </w:rPr>
            </w:pPr>
            <w:r w:rsidRPr="00576902">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0E66AA" w:rsidRPr="00576902" w:rsidRDefault="000E66AA" w:rsidP="000E66AA">
            <w:pPr>
              <w:spacing w:before="40" w:after="40"/>
              <w:rPr>
                <w:rFonts w:ascii="Garamond" w:hAnsi="Garamond" w:cs="Arial"/>
                <w:sz w:val="16"/>
                <w:szCs w:val="16"/>
              </w:rPr>
            </w:pPr>
            <w:r w:rsidRPr="00576902">
              <w:rPr>
                <w:rFonts w:ascii="Garamond" w:hAnsi="Garamond" w:cs="Arial"/>
                <w:sz w:val="16"/>
                <w:szCs w:val="16"/>
              </w:rPr>
              <w:t>2018-2020</w:t>
            </w:r>
          </w:p>
        </w:tc>
        <w:tc>
          <w:tcPr>
            <w:tcW w:w="351" w:type="pct"/>
            <w:shd w:val="clear" w:color="auto" w:fill="auto"/>
            <w:vAlign w:val="center"/>
          </w:tcPr>
          <w:p w:rsidR="000E66AA" w:rsidRPr="00576902" w:rsidRDefault="000E66AA" w:rsidP="00324C7B">
            <w:pPr>
              <w:spacing w:before="40" w:after="40"/>
              <w:rPr>
                <w:rFonts w:ascii="Garamond" w:hAnsi="Garamond" w:cs="Arial"/>
                <w:sz w:val="16"/>
                <w:szCs w:val="16"/>
              </w:rPr>
            </w:pPr>
            <w:r w:rsidRPr="00576902">
              <w:rPr>
                <w:rFonts w:ascii="Garamond" w:hAnsi="Garamond" w:cs="Arial"/>
                <w:sz w:val="16"/>
                <w:szCs w:val="16"/>
              </w:rPr>
              <w:t>Gmina Świedziebnia</w:t>
            </w:r>
          </w:p>
        </w:tc>
        <w:tc>
          <w:tcPr>
            <w:tcW w:w="401" w:type="pct"/>
            <w:shd w:val="clear" w:color="auto" w:fill="auto"/>
            <w:noWrap/>
            <w:vAlign w:val="center"/>
          </w:tcPr>
          <w:p w:rsidR="000E66AA" w:rsidRPr="00576902" w:rsidRDefault="000E66AA" w:rsidP="00EC41B0">
            <w:pPr>
              <w:spacing w:before="40" w:after="40"/>
              <w:jc w:val="right"/>
              <w:rPr>
                <w:rFonts w:ascii="Garamond" w:hAnsi="Garamond" w:cs="Arial"/>
                <w:sz w:val="16"/>
                <w:szCs w:val="16"/>
              </w:rPr>
            </w:pPr>
            <w:r w:rsidRPr="00576902">
              <w:rPr>
                <w:rFonts w:ascii="Garamond" w:hAnsi="Garamond" w:cs="Arial"/>
                <w:sz w:val="16"/>
                <w:szCs w:val="16"/>
              </w:rPr>
              <w:t>206 007,06</w:t>
            </w:r>
          </w:p>
        </w:tc>
        <w:tc>
          <w:tcPr>
            <w:tcW w:w="501" w:type="pct"/>
            <w:shd w:val="clear" w:color="auto" w:fill="auto"/>
            <w:vAlign w:val="center"/>
          </w:tcPr>
          <w:p w:rsidR="000E66AA" w:rsidRPr="00576902" w:rsidRDefault="000E66AA" w:rsidP="000E66AA">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EFS</w:t>
            </w:r>
          </w:p>
          <w:p w:rsidR="000E66AA" w:rsidRPr="00576902" w:rsidRDefault="000E66AA" w:rsidP="000E66AA">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175 106,00</w:t>
            </w:r>
          </w:p>
          <w:p w:rsidR="000E66AA" w:rsidRPr="00576902" w:rsidRDefault="000E66AA" w:rsidP="000E66AA">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Środki własne</w:t>
            </w:r>
          </w:p>
          <w:p w:rsidR="000E66AA" w:rsidRPr="00576902" w:rsidRDefault="000E66AA" w:rsidP="000E66AA">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30 901,06</w:t>
            </w:r>
          </w:p>
        </w:tc>
        <w:tc>
          <w:tcPr>
            <w:tcW w:w="150" w:type="pct"/>
            <w:shd w:val="clear" w:color="auto" w:fill="auto"/>
            <w:vAlign w:val="center"/>
          </w:tcPr>
          <w:p w:rsidR="000E66AA" w:rsidRPr="00576902" w:rsidRDefault="00C96A3C" w:rsidP="00324C7B">
            <w:pPr>
              <w:spacing w:before="40" w:after="40"/>
              <w:jc w:val="center"/>
              <w:rPr>
                <w:rFonts w:ascii="Garamond" w:hAnsi="Garamond" w:cs="Arial"/>
                <w:sz w:val="16"/>
                <w:szCs w:val="16"/>
              </w:rPr>
            </w:pPr>
            <w:r w:rsidRPr="00576902">
              <w:rPr>
                <w:rFonts w:ascii="Garamond" w:hAnsi="Garamond" w:cs="Arial"/>
                <w:sz w:val="16"/>
                <w:szCs w:val="16"/>
              </w:rPr>
              <w:t>10i</w:t>
            </w:r>
          </w:p>
        </w:tc>
        <w:tc>
          <w:tcPr>
            <w:tcW w:w="1117" w:type="pct"/>
            <w:shd w:val="clear" w:color="auto" w:fill="auto"/>
            <w:vAlign w:val="center"/>
          </w:tcPr>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nauczycieli, którzy  uzyskali  kwalifikacje lub nabyli kompetencje  po  opuszczeniu  programu –  14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którzy nabyli kompetencje kluczowe po opuszczeniu programu – 180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szkół, w których pracownie przedmiotowe wykorzystują doposażenie do prowadzenia zajęć edukacyjnych – 2</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którzy podnieśli, nabyli lub uzupełnili umiejętności praktyczne po opuszczeniu programu – 180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 xml:space="preserve">Liczba szkół i </w:t>
            </w:r>
            <w:proofErr w:type="spellStart"/>
            <w:r w:rsidRPr="00576902">
              <w:rPr>
                <w:rFonts w:ascii="Garamond" w:hAnsi="Garamond"/>
                <w:sz w:val="16"/>
              </w:rPr>
              <w:t>placowek</w:t>
            </w:r>
            <w:proofErr w:type="spellEnd"/>
            <w:r w:rsidRPr="00576902">
              <w:rPr>
                <w:rFonts w:ascii="Garamond" w:hAnsi="Garamond"/>
                <w:sz w:val="16"/>
              </w:rPr>
              <w:t xml:space="preserve"> systemu oświaty wykorzystujących sprzęt TIK do prowadzenia zajęć edukacyjnych - 1 </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nauczycieli objętych wsparciem w programie – 14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objętych wsparciem w zakresie rozwijania kompetencji kluczowych w programie – 310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szkół i placówek systemu oświaty wyposażonych w ramach programu w sprzęt TIK do prowadzenia zajęć edukacyjnych –  1 szkoła</w:t>
            </w:r>
          </w:p>
          <w:p w:rsidR="000E66AA" w:rsidRPr="00576902" w:rsidRDefault="00C96A3C" w:rsidP="00C96A3C">
            <w:pPr>
              <w:pStyle w:val="Akapitzlist"/>
              <w:widowControl w:val="0"/>
              <w:numPr>
                <w:ilvl w:val="0"/>
                <w:numId w:val="107"/>
              </w:numPr>
              <w:autoSpaceDE w:val="0"/>
              <w:autoSpaceDN w:val="0"/>
              <w:adjustRightInd w:val="0"/>
              <w:spacing w:before="40" w:after="0" w:line="6" w:lineRule="atLeast"/>
              <w:jc w:val="both"/>
              <w:rPr>
                <w:rFonts w:ascii="Garamond" w:hAnsi="Garamond"/>
                <w:sz w:val="16"/>
                <w:szCs w:val="16"/>
              </w:rPr>
            </w:pPr>
            <w:r w:rsidRPr="00576902">
              <w:rPr>
                <w:rFonts w:ascii="Garamond" w:hAnsi="Garamond"/>
                <w:sz w:val="16"/>
              </w:rPr>
              <w:t xml:space="preserve">Liczba szkół, których pracownie </w:t>
            </w:r>
            <w:r w:rsidRPr="00576902">
              <w:rPr>
                <w:rFonts w:ascii="Garamond" w:hAnsi="Garamond"/>
                <w:sz w:val="16"/>
              </w:rPr>
              <w:lastRenderedPageBreak/>
              <w:t xml:space="preserve">przedmiotowe zostały doposażone w programie – 2 </w:t>
            </w:r>
          </w:p>
        </w:tc>
      </w:tr>
      <w:tr w:rsidR="00C96A3C" w:rsidRPr="00C96A3C" w:rsidTr="00324C7B">
        <w:trPr>
          <w:trHeight w:val="20"/>
        </w:trPr>
        <w:tc>
          <w:tcPr>
            <w:tcW w:w="173" w:type="pct"/>
            <w:shd w:val="clear" w:color="auto" w:fill="auto"/>
            <w:noWrap/>
            <w:vAlign w:val="center"/>
          </w:tcPr>
          <w:p w:rsidR="00C96A3C" w:rsidRPr="00576902" w:rsidRDefault="00C96A3C"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lastRenderedPageBreak/>
              <w:t xml:space="preserve">59 </w:t>
            </w:r>
          </w:p>
        </w:tc>
        <w:tc>
          <w:tcPr>
            <w:tcW w:w="754" w:type="pct"/>
            <w:shd w:val="clear" w:color="auto" w:fill="auto"/>
            <w:vAlign w:val="center"/>
          </w:tcPr>
          <w:p w:rsidR="00C96A3C" w:rsidRPr="00576902" w:rsidRDefault="00C96A3C" w:rsidP="00324C7B">
            <w:pPr>
              <w:rPr>
                <w:rFonts w:ascii="Garamond" w:hAnsi="Garamond" w:cs="Arial"/>
                <w:sz w:val="16"/>
                <w:szCs w:val="16"/>
              </w:rPr>
            </w:pPr>
            <w:r w:rsidRPr="00576902">
              <w:rPr>
                <w:rFonts w:ascii="Garamond" w:hAnsi="Garamond" w:cs="Arial"/>
                <w:sz w:val="16"/>
                <w:szCs w:val="16"/>
              </w:rPr>
              <w:t>Rozwój kompetencji kluczowych uczniów z zespołu Szkół w Górznie wraz z doposażeniem bazy dydaktycznej</w:t>
            </w:r>
          </w:p>
        </w:tc>
        <w:tc>
          <w:tcPr>
            <w:tcW w:w="401" w:type="pct"/>
            <w:shd w:val="clear" w:color="auto" w:fill="auto"/>
            <w:vAlign w:val="center"/>
          </w:tcPr>
          <w:p w:rsidR="00C96A3C" w:rsidRPr="00576902" w:rsidRDefault="00C96A3C" w:rsidP="00324C7B">
            <w:pPr>
              <w:jc w:val="center"/>
              <w:rPr>
                <w:rFonts w:ascii="Garamond" w:hAnsi="Garamond" w:cs="Arial"/>
                <w:sz w:val="16"/>
                <w:szCs w:val="16"/>
              </w:rPr>
            </w:pPr>
            <w:r w:rsidRPr="00576902">
              <w:rPr>
                <w:rFonts w:ascii="Garamond" w:hAnsi="Garamond" w:cs="Arial"/>
                <w:sz w:val="16"/>
                <w:szCs w:val="16"/>
              </w:rPr>
              <w:t>Miasto i Gmina Górzno</w:t>
            </w:r>
          </w:p>
        </w:tc>
        <w:tc>
          <w:tcPr>
            <w:tcW w:w="801" w:type="pct"/>
            <w:shd w:val="clear" w:color="auto" w:fill="auto"/>
            <w:vAlign w:val="center"/>
          </w:tcPr>
          <w:p w:rsidR="00C96A3C" w:rsidRPr="00576902" w:rsidRDefault="00C96A3C" w:rsidP="00C96A3C">
            <w:pPr>
              <w:pStyle w:val="S1"/>
              <w:numPr>
                <w:ilvl w:val="0"/>
                <w:numId w:val="0"/>
              </w:numPr>
              <w:spacing w:before="40" w:after="40" w:line="240" w:lineRule="auto"/>
              <w:jc w:val="center"/>
              <w:rPr>
                <w:b w:val="0"/>
                <w:color w:val="auto"/>
                <w:sz w:val="16"/>
                <w:szCs w:val="16"/>
              </w:rPr>
            </w:pPr>
            <w:r w:rsidRPr="00576902">
              <w:rPr>
                <w:b w:val="0"/>
                <w:color w:val="auto"/>
                <w:sz w:val="16"/>
                <w:szCs w:val="16"/>
              </w:rPr>
              <w:t>Niepełne dopasowanie oferty edukacyjnej do potrzeb rynku pracy</w:t>
            </w:r>
          </w:p>
          <w:p w:rsidR="00C96A3C" w:rsidRPr="00576902" w:rsidRDefault="00C96A3C" w:rsidP="00C96A3C">
            <w:pPr>
              <w:pStyle w:val="S1"/>
              <w:numPr>
                <w:ilvl w:val="0"/>
                <w:numId w:val="0"/>
              </w:numPr>
              <w:spacing w:before="40" w:after="40" w:line="240" w:lineRule="auto"/>
              <w:jc w:val="center"/>
              <w:rPr>
                <w:b w:val="0"/>
                <w:color w:val="auto"/>
                <w:sz w:val="16"/>
                <w:szCs w:val="16"/>
              </w:rPr>
            </w:pPr>
          </w:p>
          <w:p w:rsidR="00C96A3C" w:rsidRPr="00576902" w:rsidRDefault="00C96A3C" w:rsidP="00C96A3C">
            <w:pPr>
              <w:pStyle w:val="S1"/>
              <w:numPr>
                <w:ilvl w:val="0"/>
                <w:numId w:val="0"/>
              </w:numPr>
              <w:spacing w:before="40" w:after="40" w:line="240" w:lineRule="auto"/>
              <w:jc w:val="center"/>
              <w:rPr>
                <w:b w:val="0"/>
                <w:color w:val="auto"/>
                <w:sz w:val="16"/>
                <w:szCs w:val="16"/>
              </w:rPr>
            </w:pPr>
            <w:r w:rsidRPr="00576902">
              <w:rPr>
                <w:b w:val="0"/>
                <w:color w:val="auto"/>
                <w:sz w:val="16"/>
                <w:szCs w:val="16"/>
              </w:rPr>
              <w:t>Niewystarczająca oferta zajęć pozalekcyjnych dla uczniów oraz kursów i szkoleń podnoszących kwalifikacje nauczycieli w zakresie rozwijania kompetencji kluczowych</w:t>
            </w:r>
          </w:p>
        </w:tc>
        <w:tc>
          <w:tcPr>
            <w:tcW w:w="350" w:type="pct"/>
            <w:shd w:val="clear" w:color="auto" w:fill="auto"/>
            <w:vAlign w:val="center"/>
          </w:tcPr>
          <w:p w:rsidR="00C96A3C" w:rsidRPr="00576902" w:rsidRDefault="00C96A3C" w:rsidP="000E66AA">
            <w:pPr>
              <w:spacing w:before="40" w:after="40"/>
              <w:rPr>
                <w:rFonts w:ascii="Garamond" w:hAnsi="Garamond" w:cs="Arial"/>
                <w:sz w:val="16"/>
                <w:szCs w:val="16"/>
              </w:rPr>
            </w:pPr>
            <w:r w:rsidRPr="00576902">
              <w:rPr>
                <w:rFonts w:ascii="Garamond" w:hAnsi="Garamond" w:cs="Arial"/>
                <w:sz w:val="16"/>
                <w:szCs w:val="16"/>
              </w:rPr>
              <w:t>2018-2020</w:t>
            </w:r>
          </w:p>
        </w:tc>
        <w:tc>
          <w:tcPr>
            <w:tcW w:w="351" w:type="pct"/>
            <w:shd w:val="clear" w:color="auto" w:fill="auto"/>
            <w:vAlign w:val="center"/>
          </w:tcPr>
          <w:p w:rsidR="00C96A3C" w:rsidRPr="00576902" w:rsidRDefault="00C96A3C" w:rsidP="00324C7B">
            <w:pPr>
              <w:spacing w:before="40" w:after="40"/>
              <w:rPr>
                <w:rFonts w:ascii="Garamond" w:hAnsi="Garamond" w:cs="Arial"/>
                <w:sz w:val="16"/>
                <w:szCs w:val="16"/>
              </w:rPr>
            </w:pPr>
            <w:r w:rsidRPr="00576902">
              <w:rPr>
                <w:rFonts w:ascii="Garamond" w:hAnsi="Garamond" w:cs="Arial"/>
                <w:sz w:val="16"/>
                <w:szCs w:val="16"/>
              </w:rPr>
              <w:t>Miasto i Gmina Górzno</w:t>
            </w:r>
          </w:p>
        </w:tc>
        <w:tc>
          <w:tcPr>
            <w:tcW w:w="401" w:type="pct"/>
            <w:shd w:val="clear" w:color="auto" w:fill="auto"/>
            <w:noWrap/>
            <w:vAlign w:val="center"/>
          </w:tcPr>
          <w:p w:rsidR="00C96A3C" w:rsidRPr="00576902" w:rsidRDefault="00C96A3C" w:rsidP="00EC41B0">
            <w:pPr>
              <w:spacing w:before="40" w:after="40"/>
              <w:jc w:val="right"/>
              <w:rPr>
                <w:rFonts w:ascii="Garamond" w:hAnsi="Garamond" w:cs="Arial"/>
                <w:sz w:val="16"/>
                <w:szCs w:val="16"/>
              </w:rPr>
            </w:pPr>
            <w:r w:rsidRPr="00576902">
              <w:rPr>
                <w:rFonts w:ascii="Garamond" w:hAnsi="Garamond" w:cs="Arial"/>
                <w:sz w:val="16"/>
                <w:szCs w:val="16"/>
              </w:rPr>
              <w:t>100 000,00</w:t>
            </w:r>
          </w:p>
        </w:tc>
        <w:tc>
          <w:tcPr>
            <w:tcW w:w="501" w:type="pct"/>
            <w:shd w:val="clear" w:color="auto" w:fill="auto"/>
            <w:vAlign w:val="center"/>
          </w:tcPr>
          <w:p w:rsidR="00C96A3C" w:rsidRPr="00576902" w:rsidRDefault="00C96A3C" w:rsidP="00C96A3C">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EFS</w:t>
            </w:r>
          </w:p>
          <w:p w:rsidR="00C96A3C" w:rsidRPr="00576902" w:rsidRDefault="00C96A3C" w:rsidP="00C96A3C">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85 000,00</w:t>
            </w:r>
          </w:p>
          <w:p w:rsidR="00C96A3C" w:rsidRPr="00576902" w:rsidRDefault="00C96A3C" w:rsidP="00C96A3C">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Środki własne</w:t>
            </w:r>
          </w:p>
          <w:p w:rsidR="00C96A3C" w:rsidRPr="00576902" w:rsidRDefault="00C96A3C" w:rsidP="00C96A3C">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15 000,00</w:t>
            </w:r>
          </w:p>
        </w:tc>
        <w:tc>
          <w:tcPr>
            <w:tcW w:w="150" w:type="pct"/>
            <w:shd w:val="clear" w:color="auto" w:fill="auto"/>
            <w:vAlign w:val="center"/>
          </w:tcPr>
          <w:p w:rsidR="00C96A3C" w:rsidRPr="00576902" w:rsidRDefault="00C96A3C" w:rsidP="00324C7B">
            <w:pPr>
              <w:spacing w:before="40" w:after="40"/>
              <w:jc w:val="center"/>
              <w:rPr>
                <w:rFonts w:ascii="Garamond" w:hAnsi="Garamond" w:cs="Arial"/>
                <w:sz w:val="16"/>
                <w:szCs w:val="16"/>
              </w:rPr>
            </w:pPr>
            <w:r w:rsidRPr="00576902">
              <w:rPr>
                <w:rFonts w:ascii="Garamond" w:hAnsi="Garamond" w:cs="Arial"/>
                <w:sz w:val="16"/>
                <w:szCs w:val="16"/>
              </w:rPr>
              <w:t>10i</w:t>
            </w:r>
          </w:p>
        </w:tc>
        <w:tc>
          <w:tcPr>
            <w:tcW w:w="1117" w:type="pct"/>
            <w:shd w:val="clear" w:color="auto" w:fill="auto"/>
            <w:vAlign w:val="center"/>
          </w:tcPr>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nauczycieli, którzy  uzyskali  kwalifikacje lub nabyli kompetencje  po  opuszczeniu  programu –  15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którzy nabyli kompetencje kluczowe po opuszczeniu programu – 196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szkół, w których pracownie przedmiotowe wykorzystują doposażenie do prowadzenia zajęć edukacyjnych – 1</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którzy podnieśli, nabyli lub uzupełnili umiejętności praktyczne po opuszczeniu programu – 196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nauczycieli objętych wsparciem w programie – 15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uczniów objętych wsparciem w zakresie rozwijania kompetencji kluczowych w programie – 196 osób</w:t>
            </w:r>
          </w:p>
          <w:p w:rsidR="00C96A3C" w:rsidRPr="00576902" w:rsidRDefault="00C96A3C" w:rsidP="00C96A3C">
            <w:pPr>
              <w:pStyle w:val="Akapitzlist"/>
              <w:numPr>
                <w:ilvl w:val="0"/>
                <w:numId w:val="107"/>
              </w:numPr>
              <w:jc w:val="both"/>
              <w:rPr>
                <w:rFonts w:ascii="Garamond" w:hAnsi="Garamond"/>
                <w:sz w:val="16"/>
              </w:rPr>
            </w:pPr>
            <w:r w:rsidRPr="00576902">
              <w:rPr>
                <w:rFonts w:ascii="Garamond" w:hAnsi="Garamond"/>
                <w:sz w:val="16"/>
              </w:rPr>
              <w:t>Liczba szkół, których pracownie przedmiotowe zostały doposażone w programie – 1</w:t>
            </w:r>
          </w:p>
        </w:tc>
      </w:tr>
      <w:tr w:rsidR="00C96A3C" w:rsidRPr="00C96A3C" w:rsidTr="00324C7B">
        <w:trPr>
          <w:trHeight w:val="20"/>
        </w:trPr>
        <w:tc>
          <w:tcPr>
            <w:tcW w:w="173" w:type="pct"/>
            <w:shd w:val="clear" w:color="auto" w:fill="auto"/>
            <w:noWrap/>
            <w:vAlign w:val="center"/>
          </w:tcPr>
          <w:p w:rsidR="00C96A3C" w:rsidRPr="00576902" w:rsidRDefault="00C96A3C" w:rsidP="00324C7B">
            <w:pPr>
              <w:spacing w:before="40" w:after="40" w:line="240" w:lineRule="auto"/>
              <w:jc w:val="center"/>
              <w:rPr>
                <w:rFonts w:ascii="Garamond" w:eastAsia="Times New Roman" w:hAnsi="Garamond" w:cs="Arial"/>
                <w:sz w:val="16"/>
                <w:szCs w:val="16"/>
              </w:rPr>
            </w:pPr>
            <w:r w:rsidRPr="00576902">
              <w:rPr>
                <w:rFonts w:ascii="Garamond" w:eastAsia="Times New Roman" w:hAnsi="Garamond" w:cs="Arial"/>
                <w:sz w:val="16"/>
                <w:szCs w:val="16"/>
              </w:rPr>
              <w:t>60</w:t>
            </w:r>
          </w:p>
        </w:tc>
        <w:tc>
          <w:tcPr>
            <w:tcW w:w="754" w:type="pct"/>
            <w:shd w:val="clear" w:color="auto" w:fill="auto"/>
            <w:vAlign w:val="center"/>
          </w:tcPr>
          <w:p w:rsidR="00C96A3C" w:rsidRPr="00576902" w:rsidRDefault="00C96A3C" w:rsidP="00324C7B">
            <w:pPr>
              <w:rPr>
                <w:rFonts w:ascii="Garamond" w:hAnsi="Garamond" w:cs="Arial"/>
                <w:sz w:val="16"/>
                <w:szCs w:val="16"/>
              </w:rPr>
            </w:pPr>
            <w:r w:rsidRPr="00576902">
              <w:rPr>
                <w:rFonts w:ascii="Garamond" w:hAnsi="Garamond" w:cs="Arial"/>
                <w:sz w:val="16"/>
                <w:szCs w:val="16"/>
              </w:rPr>
              <w:t>Podniesienie  kwalifikacji osób bez</w:t>
            </w:r>
            <w:r w:rsidR="00CE1682" w:rsidRPr="00576902">
              <w:rPr>
                <w:rFonts w:ascii="Garamond" w:hAnsi="Garamond" w:cs="Arial"/>
                <w:sz w:val="16"/>
                <w:szCs w:val="16"/>
              </w:rPr>
              <w:t>robotnych z terenu Górzna poprzez udział w szkoleniach i kursach</w:t>
            </w:r>
          </w:p>
        </w:tc>
        <w:tc>
          <w:tcPr>
            <w:tcW w:w="401" w:type="pct"/>
            <w:shd w:val="clear" w:color="auto" w:fill="auto"/>
            <w:vAlign w:val="center"/>
          </w:tcPr>
          <w:p w:rsidR="00C96A3C" w:rsidRPr="00576902" w:rsidRDefault="00CE1682" w:rsidP="00324C7B">
            <w:pPr>
              <w:jc w:val="center"/>
              <w:rPr>
                <w:rFonts w:ascii="Garamond" w:hAnsi="Garamond" w:cs="Arial"/>
                <w:sz w:val="16"/>
                <w:szCs w:val="16"/>
              </w:rPr>
            </w:pPr>
            <w:r w:rsidRPr="00576902">
              <w:rPr>
                <w:rFonts w:ascii="Garamond" w:hAnsi="Garamond" w:cs="Arial"/>
                <w:sz w:val="16"/>
                <w:szCs w:val="16"/>
              </w:rPr>
              <w:t>Miasto i Gmina Górzno</w:t>
            </w:r>
          </w:p>
        </w:tc>
        <w:tc>
          <w:tcPr>
            <w:tcW w:w="801" w:type="pct"/>
            <w:shd w:val="clear" w:color="auto" w:fill="auto"/>
            <w:vAlign w:val="center"/>
          </w:tcPr>
          <w:p w:rsidR="00CE1682" w:rsidRPr="00576902" w:rsidRDefault="00CE1682" w:rsidP="00CE1682">
            <w:pPr>
              <w:pStyle w:val="S1"/>
              <w:numPr>
                <w:ilvl w:val="0"/>
                <w:numId w:val="0"/>
              </w:numPr>
              <w:spacing w:before="40" w:after="40" w:line="240" w:lineRule="auto"/>
              <w:ind w:left="33"/>
              <w:jc w:val="center"/>
              <w:rPr>
                <w:b w:val="0"/>
                <w:color w:val="auto"/>
                <w:sz w:val="16"/>
                <w:szCs w:val="16"/>
              </w:rPr>
            </w:pPr>
            <w:r w:rsidRPr="00576902">
              <w:rPr>
                <w:b w:val="0"/>
                <w:color w:val="auto"/>
                <w:sz w:val="16"/>
                <w:szCs w:val="16"/>
              </w:rPr>
              <w:t>Nowoczesna oferta edukacyjna odpowiadająca potrzebom rynku pracy</w:t>
            </w:r>
          </w:p>
          <w:p w:rsidR="00CE1682" w:rsidRPr="00576902" w:rsidRDefault="00CE1682" w:rsidP="00CE1682">
            <w:pPr>
              <w:pStyle w:val="S1"/>
              <w:numPr>
                <w:ilvl w:val="0"/>
                <w:numId w:val="0"/>
              </w:numPr>
              <w:spacing w:before="40" w:after="40" w:line="240" w:lineRule="auto"/>
              <w:ind w:left="33"/>
              <w:jc w:val="center"/>
              <w:rPr>
                <w:b w:val="0"/>
                <w:color w:val="auto"/>
                <w:sz w:val="16"/>
                <w:szCs w:val="16"/>
              </w:rPr>
            </w:pPr>
          </w:p>
          <w:p w:rsidR="00CE1682" w:rsidRPr="00576902" w:rsidRDefault="00CE1682" w:rsidP="00CE1682">
            <w:pPr>
              <w:pStyle w:val="S1"/>
              <w:numPr>
                <w:ilvl w:val="0"/>
                <w:numId w:val="0"/>
              </w:numPr>
              <w:spacing w:before="40" w:after="40" w:line="240" w:lineRule="auto"/>
              <w:ind w:left="33"/>
              <w:jc w:val="center"/>
              <w:rPr>
                <w:b w:val="0"/>
                <w:color w:val="auto"/>
                <w:sz w:val="16"/>
                <w:szCs w:val="16"/>
              </w:rPr>
            </w:pPr>
            <w:r w:rsidRPr="00576902">
              <w:rPr>
                <w:b w:val="0"/>
                <w:color w:val="auto"/>
                <w:sz w:val="16"/>
                <w:szCs w:val="16"/>
              </w:rPr>
              <w:t>Atrakcyjna oferta staży i praktyk zawodowych</w:t>
            </w:r>
          </w:p>
          <w:p w:rsidR="00C96A3C" w:rsidRPr="00576902" w:rsidRDefault="00C96A3C" w:rsidP="00C96A3C">
            <w:pPr>
              <w:pStyle w:val="S1"/>
              <w:numPr>
                <w:ilvl w:val="0"/>
                <w:numId w:val="0"/>
              </w:numPr>
              <w:spacing w:before="40" w:after="40" w:line="240" w:lineRule="auto"/>
              <w:jc w:val="center"/>
              <w:rPr>
                <w:b w:val="0"/>
                <w:color w:val="auto"/>
                <w:sz w:val="16"/>
                <w:szCs w:val="16"/>
              </w:rPr>
            </w:pPr>
          </w:p>
        </w:tc>
        <w:tc>
          <w:tcPr>
            <w:tcW w:w="350" w:type="pct"/>
            <w:shd w:val="clear" w:color="auto" w:fill="auto"/>
            <w:vAlign w:val="center"/>
          </w:tcPr>
          <w:p w:rsidR="00C96A3C" w:rsidRPr="00576902" w:rsidRDefault="00CE1682" w:rsidP="000E66AA">
            <w:pPr>
              <w:spacing w:before="40" w:after="40"/>
              <w:rPr>
                <w:rFonts w:ascii="Garamond" w:hAnsi="Garamond" w:cs="Arial"/>
                <w:sz w:val="16"/>
                <w:szCs w:val="16"/>
              </w:rPr>
            </w:pPr>
            <w:r w:rsidRPr="00576902">
              <w:rPr>
                <w:rFonts w:ascii="Garamond" w:hAnsi="Garamond" w:cs="Arial"/>
                <w:sz w:val="16"/>
                <w:szCs w:val="16"/>
              </w:rPr>
              <w:t>2019-2022</w:t>
            </w:r>
          </w:p>
        </w:tc>
        <w:tc>
          <w:tcPr>
            <w:tcW w:w="351" w:type="pct"/>
            <w:shd w:val="clear" w:color="auto" w:fill="auto"/>
            <w:vAlign w:val="center"/>
          </w:tcPr>
          <w:p w:rsidR="00C96A3C" w:rsidRPr="00576902" w:rsidRDefault="00CE1682" w:rsidP="00324C7B">
            <w:pPr>
              <w:spacing w:before="40" w:after="40"/>
              <w:rPr>
                <w:rFonts w:ascii="Garamond" w:hAnsi="Garamond" w:cs="Arial"/>
                <w:sz w:val="16"/>
                <w:szCs w:val="16"/>
              </w:rPr>
            </w:pPr>
            <w:r w:rsidRPr="00576902">
              <w:rPr>
                <w:rFonts w:ascii="Garamond" w:hAnsi="Garamond" w:cs="Arial"/>
                <w:sz w:val="16"/>
                <w:szCs w:val="16"/>
              </w:rPr>
              <w:t>Miasto i Gmina Górzno</w:t>
            </w:r>
          </w:p>
        </w:tc>
        <w:tc>
          <w:tcPr>
            <w:tcW w:w="401" w:type="pct"/>
            <w:shd w:val="clear" w:color="auto" w:fill="auto"/>
            <w:noWrap/>
            <w:vAlign w:val="center"/>
          </w:tcPr>
          <w:p w:rsidR="00C96A3C" w:rsidRPr="00576902" w:rsidRDefault="00CE1682" w:rsidP="00EC41B0">
            <w:pPr>
              <w:spacing w:before="40" w:after="40"/>
              <w:jc w:val="right"/>
              <w:rPr>
                <w:rFonts w:ascii="Garamond" w:hAnsi="Garamond" w:cs="Arial"/>
                <w:sz w:val="16"/>
                <w:szCs w:val="16"/>
              </w:rPr>
            </w:pPr>
            <w:r w:rsidRPr="00576902">
              <w:rPr>
                <w:rFonts w:ascii="Garamond" w:hAnsi="Garamond" w:cs="Arial"/>
                <w:sz w:val="16"/>
                <w:szCs w:val="16"/>
              </w:rPr>
              <w:t>100 000,00</w:t>
            </w:r>
          </w:p>
        </w:tc>
        <w:tc>
          <w:tcPr>
            <w:tcW w:w="501" w:type="pct"/>
            <w:shd w:val="clear" w:color="auto" w:fill="auto"/>
            <w:vAlign w:val="center"/>
          </w:tcPr>
          <w:p w:rsidR="00CE1682" w:rsidRPr="00576902" w:rsidRDefault="00CE1682" w:rsidP="00CE1682">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EFS</w:t>
            </w:r>
          </w:p>
          <w:p w:rsidR="00CE1682" w:rsidRPr="00576902" w:rsidRDefault="00CE1682" w:rsidP="00CE1682">
            <w:pPr>
              <w:pStyle w:val="Akapitzlist"/>
              <w:spacing w:before="40" w:after="40" w:line="240" w:lineRule="auto"/>
              <w:ind w:left="170"/>
              <w:rPr>
                <w:rFonts w:ascii="Garamond" w:eastAsia="Times New Roman" w:hAnsi="Garamond" w:cs="Arial"/>
                <w:bCs/>
                <w:sz w:val="16"/>
                <w:szCs w:val="16"/>
              </w:rPr>
            </w:pPr>
            <w:r w:rsidRPr="00576902">
              <w:rPr>
                <w:rFonts w:ascii="Garamond" w:eastAsia="Times New Roman" w:hAnsi="Garamond" w:cs="Arial"/>
                <w:bCs/>
                <w:sz w:val="16"/>
                <w:szCs w:val="16"/>
              </w:rPr>
              <w:t>85 000,00</w:t>
            </w:r>
          </w:p>
          <w:p w:rsidR="00CE1682" w:rsidRPr="00576902" w:rsidRDefault="00CE1682" w:rsidP="00CE1682">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Środki własne</w:t>
            </w:r>
          </w:p>
          <w:p w:rsidR="00C96A3C" w:rsidRPr="00576902" w:rsidRDefault="00CE1682" w:rsidP="00CE1682">
            <w:pPr>
              <w:pStyle w:val="Akapitzlist"/>
              <w:numPr>
                <w:ilvl w:val="0"/>
                <w:numId w:val="74"/>
              </w:numPr>
              <w:spacing w:before="40" w:after="40" w:line="240" w:lineRule="auto"/>
              <w:ind w:left="170" w:hanging="170"/>
              <w:rPr>
                <w:rFonts w:ascii="Garamond" w:eastAsia="Times New Roman" w:hAnsi="Garamond" w:cs="Arial"/>
                <w:bCs/>
                <w:sz w:val="16"/>
                <w:szCs w:val="16"/>
              </w:rPr>
            </w:pPr>
            <w:r w:rsidRPr="00576902">
              <w:rPr>
                <w:rFonts w:ascii="Garamond" w:eastAsia="Times New Roman" w:hAnsi="Garamond" w:cs="Arial"/>
                <w:bCs/>
                <w:sz w:val="16"/>
                <w:szCs w:val="16"/>
              </w:rPr>
              <w:t>15 000,00</w:t>
            </w:r>
          </w:p>
        </w:tc>
        <w:tc>
          <w:tcPr>
            <w:tcW w:w="150" w:type="pct"/>
            <w:shd w:val="clear" w:color="auto" w:fill="auto"/>
            <w:vAlign w:val="center"/>
          </w:tcPr>
          <w:p w:rsidR="00C96A3C" w:rsidRPr="00576902" w:rsidRDefault="00CE1682" w:rsidP="00324C7B">
            <w:pPr>
              <w:spacing w:before="40" w:after="40"/>
              <w:jc w:val="center"/>
              <w:rPr>
                <w:rFonts w:ascii="Garamond" w:hAnsi="Garamond" w:cs="Arial"/>
                <w:sz w:val="16"/>
                <w:szCs w:val="16"/>
              </w:rPr>
            </w:pPr>
            <w:r w:rsidRPr="00576902">
              <w:rPr>
                <w:rFonts w:ascii="Garamond" w:hAnsi="Garamond" w:cs="Arial"/>
                <w:sz w:val="16"/>
                <w:szCs w:val="16"/>
              </w:rPr>
              <w:t>9i</w:t>
            </w:r>
          </w:p>
        </w:tc>
        <w:tc>
          <w:tcPr>
            <w:tcW w:w="1117" w:type="pct"/>
            <w:shd w:val="clear" w:color="auto" w:fill="auto"/>
            <w:vAlign w:val="center"/>
          </w:tcPr>
          <w:p w:rsidR="00C96A3C" w:rsidRPr="00576902" w:rsidRDefault="00CE1682" w:rsidP="00C96A3C">
            <w:pPr>
              <w:pStyle w:val="Akapitzlist"/>
              <w:numPr>
                <w:ilvl w:val="0"/>
                <w:numId w:val="107"/>
              </w:numPr>
              <w:jc w:val="both"/>
              <w:rPr>
                <w:rFonts w:ascii="Garamond" w:hAnsi="Garamond"/>
                <w:sz w:val="16"/>
              </w:rPr>
            </w:pPr>
            <w:r w:rsidRPr="00576902">
              <w:rPr>
                <w:rFonts w:ascii="Garamond" w:hAnsi="Garamond"/>
                <w:sz w:val="16"/>
              </w:rPr>
              <w:t>Liczba osób zagrożonych ubóstwem lub wykluczeniem społecznym poszukujących pracy po opuszczeniu programu – 5</w:t>
            </w:r>
          </w:p>
          <w:p w:rsidR="00CE1682" w:rsidRPr="00576902" w:rsidRDefault="00CE1682" w:rsidP="00C96A3C">
            <w:pPr>
              <w:pStyle w:val="Akapitzlist"/>
              <w:numPr>
                <w:ilvl w:val="0"/>
                <w:numId w:val="107"/>
              </w:numPr>
              <w:jc w:val="both"/>
              <w:rPr>
                <w:rFonts w:ascii="Garamond" w:hAnsi="Garamond"/>
                <w:sz w:val="16"/>
              </w:rPr>
            </w:pPr>
            <w:r w:rsidRPr="00576902">
              <w:rPr>
                <w:rFonts w:ascii="Garamond" w:hAnsi="Garamond"/>
                <w:sz w:val="16"/>
              </w:rPr>
              <w:t>Liczba osób zagrożonych ubóstwem lub wykluczeniem społecznym pracujących po opuszczeniu programu (łącznie z pracującymi na własny rachunek) – 3 osoby</w:t>
            </w:r>
          </w:p>
          <w:p w:rsidR="00CE1682" w:rsidRPr="00576902" w:rsidRDefault="00CE1682" w:rsidP="00C96A3C">
            <w:pPr>
              <w:pStyle w:val="Akapitzlist"/>
              <w:numPr>
                <w:ilvl w:val="0"/>
                <w:numId w:val="107"/>
              </w:numPr>
              <w:jc w:val="both"/>
              <w:rPr>
                <w:rFonts w:ascii="Garamond" w:hAnsi="Garamond"/>
                <w:sz w:val="16"/>
              </w:rPr>
            </w:pPr>
            <w:r w:rsidRPr="00576902">
              <w:rPr>
                <w:rFonts w:ascii="Garamond" w:hAnsi="Garamond"/>
                <w:sz w:val="16"/>
              </w:rPr>
              <w:t>Liczba osób zagrożonych ubóstwem lub wykluczeniem społecznym, u których wzrosła aktywność społeczna – 10 osób</w:t>
            </w:r>
          </w:p>
          <w:p w:rsidR="00CE1682" w:rsidRPr="00576902" w:rsidRDefault="00CE1682" w:rsidP="00C96A3C">
            <w:pPr>
              <w:pStyle w:val="Akapitzlist"/>
              <w:numPr>
                <w:ilvl w:val="0"/>
                <w:numId w:val="107"/>
              </w:numPr>
              <w:jc w:val="both"/>
              <w:rPr>
                <w:rFonts w:ascii="Garamond" w:hAnsi="Garamond"/>
                <w:sz w:val="16"/>
              </w:rPr>
            </w:pPr>
            <w:r w:rsidRPr="00576902">
              <w:rPr>
                <w:rFonts w:ascii="Garamond" w:hAnsi="Garamond"/>
                <w:sz w:val="16"/>
              </w:rPr>
              <w:t>Liczba osób zagrożonych ubóstwem lub wykluczeniem społecznym objętych wsparciem w programie – 10 osób</w:t>
            </w:r>
          </w:p>
        </w:tc>
      </w:tr>
      <w:bookmarkEnd w:id="106"/>
    </w:tbl>
    <w:p w:rsidR="000326FF" w:rsidRPr="00C96A3C" w:rsidRDefault="000326FF" w:rsidP="000326FF">
      <w:pPr>
        <w:rPr>
          <w:color w:val="FF0000"/>
        </w:rPr>
      </w:pPr>
    </w:p>
    <w:p w:rsidR="000326FF" w:rsidRPr="00C613D1" w:rsidRDefault="000326FF" w:rsidP="000326FF">
      <w:pPr>
        <w:rPr>
          <w:color w:val="000000" w:themeColor="text1"/>
        </w:rPr>
      </w:pPr>
    </w:p>
    <w:p w:rsidR="000326FF" w:rsidRPr="00C613D1" w:rsidRDefault="000326FF" w:rsidP="000326FF">
      <w:pPr>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pPr>
    </w:p>
    <w:p w:rsidR="000326FF" w:rsidRPr="00C613D1" w:rsidRDefault="000326FF" w:rsidP="000326FF">
      <w:pPr>
        <w:rPr>
          <w:color w:val="000000" w:themeColor="text1"/>
        </w:rPr>
      </w:pPr>
    </w:p>
    <w:p w:rsidR="000326FF" w:rsidRPr="00C613D1" w:rsidRDefault="000326FF" w:rsidP="000326FF">
      <w:pPr>
        <w:pStyle w:val="T"/>
        <w:rPr>
          <w:color w:val="000000" w:themeColor="text1"/>
        </w:rPr>
        <w:sectPr w:rsidR="000326FF" w:rsidRPr="00C613D1" w:rsidSect="00324C7B">
          <w:pgSz w:w="16838" w:h="11906" w:orient="landscape"/>
          <w:pgMar w:top="1417" w:right="1417" w:bottom="1417" w:left="1417" w:header="708" w:footer="708" w:gutter="0"/>
          <w:cols w:space="708"/>
          <w:docGrid w:linePitch="360"/>
        </w:sectPr>
      </w:pPr>
    </w:p>
    <w:p w:rsidR="000326FF" w:rsidRPr="00C613D1" w:rsidRDefault="000326FF" w:rsidP="000326FF">
      <w:pPr>
        <w:pStyle w:val="T"/>
        <w:rPr>
          <w:color w:val="000000" w:themeColor="text1"/>
        </w:rPr>
      </w:pPr>
      <w:bookmarkStart w:id="107" w:name="_Toc430872031"/>
      <w:bookmarkEnd w:id="104"/>
      <w:r w:rsidRPr="00C613D1">
        <w:rPr>
          <w:color w:val="000000" w:themeColor="text1"/>
        </w:rPr>
        <w:lastRenderedPageBreak/>
        <w:t>Tabela 49. Lista rezerwowa projektów finansowanych w ramach EFRR</w:t>
      </w:r>
      <w:bookmarkEnd w:id="107"/>
      <w:r w:rsidRPr="00C613D1">
        <w:rPr>
          <w:color w:val="000000" w:themeColor="text1"/>
        </w:rPr>
        <w:t xml:space="preserve"> i EFS- aktu</w:t>
      </w:r>
      <w:r w:rsidR="00045BA6" w:rsidRPr="00C613D1">
        <w:rPr>
          <w:color w:val="000000" w:themeColor="text1"/>
        </w:rPr>
        <w:t>alizac</w:t>
      </w:r>
      <w:r w:rsidR="00860816" w:rsidRPr="00C613D1">
        <w:rPr>
          <w:color w:val="000000" w:themeColor="text1"/>
        </w:rPr>
        <w:t>ja St</w:t>
      </w:r>
      <w:r w:rsidR="00406795" w:rsidRPr="00C613D1">
        <w:rPr>
          <w:color w:val="000000" w:themeColor="text1"/>
        </w:rPr>
        <w:t>rategii ORS</w:t>
      </w:r>
      <w:r w:rsidR="00576902">
        <w:rPr>
          <w:color w:val="000000" w:themeColor="text1"/>
        </w:rPr>
        <w:t>G w dniu 12 lipca</w:t>
      </w:r>
      <w:r w:rsidR="000F42D0">
        <w:rPr>
          <w:color w:val="000000" w:themeColor="text1"/>
        </w:rPr>
        <w:t xml:space="preserve"> </w:t>
      </w:r>
      <w:r w:rsidR="00EE36B3" w:rsidRPr="00C613D1">
        <w:rPr>
          <w:color w:val="000000" w:themeColor="text1"/>
        </w:rPr>
        <w:t>2018r. uchwałą nr XX</w:t>
      </w:r>
      <w:r w:rsidR="00D105D3" w:rsidRPr="00C613D1">
        <w:rPr>
          <w:color w:val="000000" w:themeColor="text1"/>
        </w:rPr>
        <w:t>I</w:t>
      </w:r>
      <w:r w:rsidR="000F42D0">
        <w:rPr>
          <w:color w:val="000000" w:themeColor="text1"/>
        </w:rPr>
        <w:t>I</w:t>
      </w:r>
      <w:r w:rsidR="00576902">
        <w:rPr>
          <w:color w:val="000000" w:themeColor="text1"/>
        </w:rPr>
        <w:t>I</w:t>
      </w:r>
      <w:r w:rsidR="00EE36B3" w:rsidRPr="00C613D1">
        <w:rPr>
          <w:color w:val="000000" w:themeColor="text1"/>
        </w:rPr>
        <w:t>/</w:t>
      </w:r>
      <w:r w:rsidR="009B0428" w:rsidRPr="00C613D1">
        <w:rPr>
          <w:color w:val="000000" w:themeColor="text1"/>
        </w:rPr>
        <w:t>3</w:t>
      </w:r>
      <w:r w:rsidR="00576902">
        <w:rPr>
          <w:color w:val="000000" w:themeColor="text1"/>
        </w:rPr>
        <w:t>4</w:t>
      </w:r>
      <w:r w:rsidR="005777F8" w:rsidRPr="00C613D1">
        <w:rPr>
          <w:color w:val="000000" w:themeColor="text1"/>
        </w:rPr>
        <w:t>/2018</w:t>
      </w:r>
      <w:r w:rsidRPr="00C613D1">
        <w:rPr>
          <w:color w:val="000000" w:themeColor="text1"/>
        </w:rPr>
        <w:t xml:space="preserve"> Komitetu Sterującego ORSG Powiatu Brodnickiego.</w:t>
      </w: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ook w:val="04A0" w:firstRow="1" w:lastRow="0" w:firstColumn="1" w:lastColumn="0" w:noHBand="0" w:noVBand="1"/>
      </w:tblPr>
      <w:tblGrid>
        <w:gridCol w:w="534"/>
        <w:gridCol w:w="3259"/>
        <w:gridCol w:w="1985"/>
        <w:gridCol w:w="2224"/>
        <w:gridCol w:w="1098"/>
        <w:gridCol w:w="1280"/>
        <w:gridCol w:w="1647"/>
        <w:gridCol w:w="1462"/>
        <w:gridCol w:w="731"/>
      </w:tblGrid>
      <w:tr w:rsidR="00C613D1" w:rsidRPr="00C613D1" w:rsidTr="00324C7B">
        <w:tc>
          <w:tcPr>
            <w:tcW w:w="188" w:type="pct"/>
            <w:tcBorders>
              <w:top w:val="nil"/>
              <w:left w:val="single" w:sz="4" w:space="0" w:color="7030A0"/>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L.p.</w:t>
            </w:r>
          </w:p>
        </w:tc>
        <w:tc>
          <w:tcPr>
            <w:tcW w:w="114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Nazwa projektu</w:t>
            </w:r>
          </w:p>
        </w:tc>
        <w:tc>
          <w:tcPr>
            <w:tcW w:w="698"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Beneficjent</w:t>
            </w:r>
          </w:p>
        </w:tc>
        <w:tc>
          <w:tcPr>
            <w:tcW w:w="782"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Powiązany problem/</w:t>
            </w:r>
          </w:p>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potencjał</w:t>
            </w:r>
          </w:p>
        </w:tc>
        <w:tc>
          <w:tcPr>
            <w:tcW w:w="386"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Okres realizacji</w:t>
            </w:r>
          </w:p>
        </w:tc>
        <w:tc>
          <w:tcPr>
            <w:tcW w:w="450"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Zasięg</w:t>
            </w:r>
          </w:p>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terytorialny</w:t>
            </w:r>
          </w:p>
        </w:tc>
        <w:tc>
          <w:tcPr>
            <w:tcW w:w="579"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Koszt (zł)</w:t>
            </w:r>
          </w:p>
        </w:tc>
        <w:tc>
          <w:tcPr>
            <w:tcW w:w="514"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Źródła finasowania</w:t>
            </w:r>
          </w:p>
        </w:tc>
        <w:tc>
          <w:tcPr>
            <w:tcW w:w="257" w:type="pct"/>
            <w:tcBorders>
              <w:top w:val="nil"/>
              <w:left w:val="single" w:sz="4" w:space="0" w:color="FFFFFF" w:themeColor="background1"/>
              <w:bottom w:val="nil"/>
              <w:right w:val="single" w:sz="4" w:space="0" w:color="FFFFFF" w:themeColor="background1"/>
            </w:tcBorders>
            <w:shd w:val="clear" w:color="auto" w:fill="824BB0"/>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PI</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1</w:t>
            </w:r>
          </w:p>
        </w:tc>
        <w:tc>
          <w:tcPr>
            <w:tcW w:w="1146" w:type="pct"/>
            <w:shd w:val="clear" w:color="auto" w:fill="FFFFFF" w:themeFill="background1"/>
            <w:vAlign w:val="center"/>
          </w:tcPr>
          <w:p w:rsidR="000326FF" w:rsidRPr="00C613D1" w:rsidRDefault="000326FF" w:rsidP="00324C7B">
            <w:pPr>
              <w:spacing w:before="40" w:after="40"/>
              <w:rPr>
                <w:rFonts w:ascii="Garamond" w:hAnsi="Garamond" w:cs="Arial"/>
                <w:strike/>
                <w:color w:val="000000" w:themeColor="text1"/>
                <w:sz w:val="16"/>
                <w:szCs w:val="16"/>
              </w:rPr>
            </w:pPr>
            <w:r w:rsidRPr="00C613D1">
              <w:rPr>
                <w:rFonts w:ascii="Garamond" w:hAnsi="Garamond" w:cs="Times New Roman"/>
                <w:strike/>
                <w:color w:val="000000" w:themeColor="text1"/>
                <w:sz w:val="16"/>
                <w:szCs w:val="16"/>
              </w:rPr>
              <w:t>Inteligentne zarządzanie energią w budynkach użyteczności publicznej Gminy Brodnica</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Gmina Brodnica</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r w:rsidRPr="00C613D1">
              <w:rPr>
                <w:rFonts w:ascii="Garamond" w:eastAsia="Times New Roman" w:hAnsi="Garamond" w:cs="Arial"/>
                <w:bCs/>
                <w:strike/>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strike/>
                <w:color w:val="000000" w:themeColor="text1"/>
                <w:sz w:val="16"/>
                <w:szCs w:val="16"/>
              </w:rPr>
            </w:pPr>
            <w:r w:rsidRPr="00C613D1">
              <w:rPr>
                <w:rFonts w:ascii="Garamond" w:hAnsi="Garamond" w:cs="Arial"/>
                <w:bCs/>
                <w:strike/>
                <w:color w:val="000000" w:themeColor="text1"/>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2018</w:t>
            </w:r>
          </w:p>
        </w:tc>
        <w:tc>
          <w:tcPr>
            <w:tcW w:w="450" w:type="pct"/>
            <w:shd w:val="clear" w:color="auto" w:fill="FFFFFF" w:themeFill="background1"/>
            <w:vAlign w:val="center"/>
          </w:tcPr>
          <w:p w:rsidR="000326FF" w:rsidRPr="00C613D1" w:rsidRDefault="000326FF" w:rsidP="00324C7B">
            <w:pPr>
              <w:spacing w:before="40" w:after="40"/>
              <w:rPr>
                <w:rFonts w:ascii="Garamond" w:hAnsi="Garamond"/>
                <w:strike/>
                <w:color w:val="000000" w:themeColor="text1"/>
                <w:sz w:val="16"/>
                <w:szCs w:val="16"/>
              </w:rPr>
            </w:pPr>
            <w:r w:rsidRPr="00C613D1">
              <w:rPr>
                <w:rFonts w:ascii="Garamond" w:hAnsi="Garamond"/>
                <w:strike/>
                <w:color w:val="000000" w:themeColor="text1"/>
                <w:sz w:val="16"/>
                <w:szCs w:val="16"/>
              </w:rPr>
              <w:t>Gmina Brodnica</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s="Arial"/>
                <w:strike/>
                <w:color w:val="000000" w:themeColor="text1"/>
                <w:sz w:val="16"/>
                <w:szCs w:val="16"/>
              </w:rPr>
            </w:pPr>
            <w:r w:rsidRPr="00C613D1">
              <w:rPr>
                <w:rFonts w:ascii="Garamond" w:hAnsi="Garamond" w:cs="Arial"/>
                <w:strike/>
                <w:color w:val="000000" w:themeColor="text1"/>
                <w:sz w:val="16"/>
                <w:szCs w:val="16"/>
              </w:rPr>
              <w:t>832 489,51</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strike/>
                <w:color w:val="000000" w:themeColor="text1"/>
                <w:sz w:val="16"/>
                <w:szCs w:val="16"/>
              </w:rPr>
            </w:pPr>
            <w:r w:rsidRPr="00C613D1">
              <w:rPr>
                <w:rFonts w:ascii="Garamond" w:eastAsia="Times New Roman" w:hAnsi="Garamond" w:cs="Arial"/>
                <w:strike/>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strike/>
                <w:color w:val="000000" w:themeColor="text1"/>
                <w:sz w:val="16"/>
                <w:szCs w:val="16"/>
              </w:rPr>
            </w:pPr>
            <w:r w:rsidRPr="00C613D1">
              <w:rPr>
                <w:rFonts w:ascii="Garamond" w:eastAsia="Times New Roman" w:hAnsi="Garamond" w:cs="Arial"/>
                <w:strike/>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strike/>
                <w:color w:val="000000" w:themeColor="text1"/>
                <w:sz w:val="16"/>
                <w:szCs w:val="16"/>
              </w:rPr>
            </w:pPr>
            <w:r w:rsidRPr="00C613D1">
              <w:rPr>
                <w:rFonts w:ascii="Garamond" w:hAnsi="Garamond"/>
                <w:strike/>
                <w:color w:val="000000" w:themeColor="text1"/>
                <w:sz w:val="16"/>
                <w:szCs w:val="16"/>
              </w:rPr>
              <w:t>4c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w:t>
            </w:r>
          </w:p>
        </w:tc>
        <w:tc>
          <w:tcPr>
            <w:tcW w:w="1146" w:type="pct"/>
            <w:shd w:val="clear" w:color="auto" w:fill="FFFFFF" w:themeFill="background1"/>
            <w:vAlign w:val="center"/>
          </w:tcPr>
          <w:p w:rsidR="000326FF" w:rsidRPr="00C613D1" w:rsidRDefault="000326FF" w:rsidP="00324C7B">
            <w:pPr>
              <w:spacing w:before="40" w:after="40"/>
              <w:rPr>
                <w:rFonts w:ascii="Garamond" w:hAnsi="Garamond" w:cs="Arial"/>
                <w:color w:val="000000" w:themeColor="text1"/>
                <w:sz w:val="16"/>
                <w:szCs w:val="16"/>
              </w:rPr>
            </w:pPr>
            <w:r w:rsidRPr="00C613D1">
              <w:rPr>
                <w:rFonts w:ascii="Garamond" w:eastAsia="Times New Roman" w:hAnsi="Garamond" w:cs="Arial"/>
                <w:bCs/>
                <w:color w:val="000000" w:themeColor="text1"/>
                <w:sz w:val="16"/>
                <w:szCs w:val="16"/>
              </w:rPr>
              <w:t>Termomodernizacja budynku Powiatowego Urzędu Pracy w Brodnicy</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 xml:space="preserve">Powiat brodnicki/PUP </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eastAsia="Times New Roman" w:hAnsi="Garamond" w:cs="Arial"/>
                <w:bCs/>
                <w:color w:val="000000" w:themeColor="text1"/>
                <w:sz w:val="16"/>
                <w:szCs w:val="16"/>
              </w:rPr>
              <w:t xml:space="preserve">Niska efektywność energetyczna budynków użyteczności publicznej i wielorodzinnych oraz niewielkie wykorzystania odnawialnych źródeł </w:t>
            </w:r>
            <w:proofErr w:type="spellStart"/>
            <w:r w:rsidRPr="00C613D1">
              <w:rPr>
                <w:rFonts w:ascii="Garamond" w:eastAsia="Times New Roman" w:hAnsi="Garamond" w:cs="Arial"/>
                <w:bCs/>
                <w:color w:val="000000" w:themeColor="text1"/>
                <w:sz w:val="16"/>
                <w:szCs w:val="16"/>
              </w:rPr>
              <w:t>energi</w:t>
            </w:r>
            <w:proofErr w:type="spellEnd"/>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2017</w:t>
            </w:r>
          </w:p>
        </w:tc>
        <w:tc>
          <w:tcPr>
            <w:tcW w:w="450"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Powiat Brodnicki</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s="Arial"/>
                <w:color w:val="000000" w:themeColor="text1"/>
                <w:sz w:val="16"/>
                <w:szCs w:val="16"/>
              </w:rPr>
            </w:pPr>
            <w:r w:rsidRPr="00C613D1">
              <w:rPr>
                <w:rFonts w:ascii="Garamond" w:hAnsi="Garamond" w:cs="Arial"/>
                <w:color w:val="000000" w:themeColor="text1"/>
                <w:sz w:val="16"/>
                <w:szCs w:val="16"/>
              </w:rPr>
              <w:t>1 100 000,00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3</w:t>
            </w:r>
          </w:p>
        </w:tc>
        <w:tc>
          <w:tcPr>
            <w:tcW w:w="1146"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s="Arial"/>
                <w:color w:val="000000" w:themeColor="text1"/>
                <w:sz w:val="16"/>
                <w:szCs w:val="16"/>
              </w:rPr>
              <w:t xml:space="preserve">Budowa ścieżki rowerowej Bartniczka – Grążawy   </w:t>
            </w:r>
          </w:p>
        </w:tc>
        <w:tc>
          <w:tcPr>
            <w:tcW w:w="69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Gmina Bartniczka</w:t>
            </w:r>
          </w:p>
        </w:tc>
        <w:tc>
          <w:tcPr>
            <w:tcW w:w="782" w:type="pct"/>
            <w:shd w:val="clear" w:color="auto" w:fill="FFFFFF" w:themeFill="background1"/>
            <w:vAlign w:val="center"/>
          </w:tcPr>
          <w:p w:rsidR="000326FF" w:rsidRPr="00C613D1" w:rsidRDefault="000326FF" w:rsidP="00324C7B">
            <w:pPr>
              <w:pStyle w:val="NormalnyWeb"/>
              <w:spacing w:before="0" w:beforeAutospacing="0" w:after="0" w:afterAutospacing="0"/>
              <w:ind w:hanging="19"/>
              <w:jc w:val="center"/>
              <w:rPr>
                <w:color w:val="000000" w:themeColor="text1"/>
              </w:rPr>
            </w:pPr>
            <w:r w:rsidRPr="00C613D1">
              <w:rPr>
                <w:rFonts w:ascii="Garamond" w:hAnsi="Garamond"/>
                <w:color w:val="000000" w:themeColor="text1"/>
                <w:sz w:val="16"/>
                <w:szCs w:val="16"/>
              </w:rPr>
              <w:t>Obniżony poziom infrastruktury technicznej</w:t>
            </w:r>
          </w:p>
          <w:p w:rsidR="000326FF" w:rsidRPr="00C613D1" w:rsidRDefault="000326FF" w:rsidP="00324C7B">
            <w:pPr>
              <w:pStyle w:val="NormalnyWeb"/>
              <w:spacing w:before="0" w:beforeAutospacing="0" w:after="0" w:afterAutospacing="0"/>
              <w:ind w:left="720"/>
              <w:jc w:val="center"/>
              <w:rPr>
                <w:color w:val="000000" w:themeColor="text1"/>
                <w:sz w:val="20"/>
              </w:rPr>
            </w:pPr>
            <w:r w:rsidRPr="00C613D1">
              <w:rPr>
                <w:color w:val="000000" w:themeColor="text1"/>
              </w:rPr>
              <w:br w:type="page"/>
            </w:r>
            <w:r w:rsidRPr="00C613D1">
              <w:rPr>
                <w:color w:val="000000" w:themeColor="text1"/>
              </w:rPr>
              <w:br w:type="page"/>
            </w:r>
          </w:p>
          <w:p w:rsidR="000326FF" w:rsidRPr="00C613D1" w:rsidRDefault="000326FF" w:rsidP="00324C7B">
            <w:pPr>
              <w:pStyle w:val="NormalnyWeb"/>
              <w:spacing w:before="0" w:beforeAutospacing="0" w:after="0" w:afterAutospacing="0"/>
              <w:jc w:val="center"/>
              <w:rPr>
                <w:color w:val="000000" w:themeColor="text1"/>
              </w:rPr>
            </w:pPr>
            <w:r w:rsidRPr="00C613D1">
              <w:rPr>
                <w:rFonts w:ascii="Garamond" w:hAnsi="Garamond"/>
                <w:color w:val="000000" w:themeColor="text1"/>
                <w:sz w:val="16"/>
                <w:szCs w:val="16"/>
              </w:rPr>
              <w:t>Niewystarczająca ilość ścieżek rowerowych i chodników</w:t>
            </w:r>
          </w:p>
        </w:tc>
        <w:tc>
          <w:tcPr>
            <w:tcW w:w="386"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2017-2018</w:t>
            </w:r>
          </w:p>
        </w:tc>
        <w:tc>
          <w:tcPr>
            <w:tcW w:w="450" w:type="pct"/>
            <w:shd w:val="clear" w:color="auto" w:fill="FFFFFF" w:themeFill="background1"/>
            <w:vAlign w:val="center"/>
          </w:tcPr>
          <w:p w:rsidR="000326FF" w:rsidRPr="00C613D1" w:rsidRDefault="000326FF" w:rsidP="00324C7B">
            <w:pPr>
              <w:spacing w:before="40" w:after="40"/>
              <w:rPr>
                <w:rFonts w:ascii="Garamond" w:hAnsi="Garamond"/>
                <w:color w:val="000000" w:themeColor="text1"/>
                <w:sz w:val="16"/>
                <w:szCs w:val="16"/>
              </w:rPr>
            </w:pPr>
            <w:r w:rsidRPr="00C613D1">
              <w:rPr>
                <w:rFonts w:ascii="Garamond" w:hAnsi="Garamond"/>
                <w:color w:val="000000" w:themeColor="text1"/>
                <w:sz w:val="16"/>
                <w:szCs w:val="16"/>
              </w:rPr>
              <w:t>Gmina Bartniczka</w:t>
            </w:r>
          </w:p>
        </w:tc>
        <w:tc>
          <w:tcPr>
            <w:tcW w:w="579" w:type="pct"/>
            <w:shd w:val="clear" w:color="auto" w:fill="FFFFFF" w:themeFill="background1"/>
            <w:vAlign w:val="center"/>
          </w:tcPr>
          <w:p w:rsidR="000326FF" w:rsidRPr="00C613D1" w:rsidRDefault="000326FF" w:rsidP="00324C7B">
            <w:pPr>
              <w:spacing w:before="40" w:after="40"/>
              <w:jc w:val="right"/>
              <w:rPr>
                <w:rFonts w:ascii="Garamond" w:hAnsi="Garamond"/>
                <w:color w:val="000000" w:themeColor="text1"/>
                <w:sz w:val="16"/>
                <w:szCs w:val="16"/>
              </w:rPr>
            </w:pPr>
            <w:r w:rsidRPr="00C613D1">
              <w:rPr>
                <w:rFonts w:ascii="Garamond" w:hAnsi="Garamond" w:cs="Arial"/>
                <w:color w:val="000000" w:themeColor="text1"/>
                <w:sz w:val="16"/>
                <w:szCs w:val="16"/>
              </w:rPr>
              <w:t>1 200 000,00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4e</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4</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Wymiana istniejącego oświetlenia ulicznego na energooszczędne</w:t>
            </w:r>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Obniżony poziom infrastruktury technicznej</w:t>
            </w:r>
          </w:p>
          <w:p w:rsidR="000326FF" w:rsidRPr="00C613D1" w:rsidRDefault="000326FF" w:rsidP="00324C7B">
            <w:pPr>
              <w:spacing w:before="40" w:after="40" w:line="240" w:lineRule="auto"/>
              <w:jc w:val="center"/>
              <w:rPr>
                <w:rFonts w:ascii="Garamond" w:hAnsi="Garamond"/>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hAnsi="Garamond"/>
                <w:color w:val="000000" w:themeColor="text1"/>
                <w:sz w:val="16"/>
                <w:szCs w:val="16"/>
              </w:rPr>
              <w:t>Wysoka energochłonność oświetlenia ulicznego</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2016-2018</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2 670 000,00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4e</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5</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 xml:space="preserve">Wymiana pokrycia dachowego z remontem kominów w budynku wpisanym do ewidencji zabytków w miejscowości </w:t>
            </w:r>
            <w:proofErr w:type="spellStart"/>
            <w:r w:rsidRPr="00C613D1">
              <w:rPr>
                <w:rFonts w:ascii="Garamond" w:eastAsia="Times New Roman" w:hAnsi="Garamond" w:cs="Arial"/>
                <w:color w:val="000000" w:themeColor="text1"/>
                <w:sz w:val="16"/>
                <w:szCs w:val="16"/>
              </w:rPr>
              <w:t>Grzybno</w:t>
            </w:r>
            <w:proofErr w:type="spellEnd"/>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6D02C5">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6D02C5">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t>Zły stan techniczny części zabytków i obiektów kultury</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2018</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100 000,00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6c</w:t>
            </w:r>
          </w:p>
        </w:tc>
      </w:tr>
      <w:tr w:rsidR="00C613D1" w:rsidRPr="00C613D1" w:rsidTr="00324C7B">
        <w:tc>
          <w:tcPr>
            <w:tcW w:w="188" w:type="pct"/>
            <w:shd w:val="clear" w:color="auto" w:fill="FFFFFF" w:themeFill="background1"/>
            <w:vAlign w:val="center"/>
          </w:tcPr>
          <w:p w:rsidR="000326FF" w:rsidRPr="00C613D1" w:rsidRDefault="000326FF" w:rsidP="00324C7B">
            <w:pPr>
              <w:spacing w:before="40" w:after="40"/>
              <w:jc w:val="center"/>
              <w:rPr>
                <w:rFonts w:ascii="Garamond" w:hAnsi="Garamond"/>
                <w:color w:val="000000" w:themeColor="text1"/>
                <w:sz w:val="16"/>
                <w:szCs w:val="16"/>
              </w:rPr>
            </w:pPr>
            <w:r w:rsidRPr="00C613D1">
              <w:rPr>
                <w:rFonts w:ascii="Garamond" w:hAnsi="Garamond"/>
                <w:color w:val="000000" w:themeColor="text1"/>
                <w:sz w:val="16"/>
                <w:szCs w:val="16"/>
              </w:rPr>
              <w:t>6</w:t>
            </w:r>
          </w:p>
        </w:tc>
        <w:tc>
          <w:tcPr>
            <w:tcW w:w="1146"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Remont budynku Gminnego Ośrodka Kultury w Bobrowie</w:t>
            </w:r>
          </w:p>
        </w:tc>
        <w:tc>
          <w:tcPr>
            <w:tcW w:w="698"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782" w:type="pct"/>
            <w:shd w:val="clear" w:color="auto" w:fill="FFFFFF" w:themeFill="background1"/>
            <w:vAlign w:val="center"/>
          </w:tcPr>
          <w:p w:rsidR="000326FF" w:rsidRPr="00C613D1" w:rsidRDefault="000326FF" w:rsidP="006D02C5">
            <w:pPr>
              <w:pStyle w:val="S1"/>
              <w:numPr>
                <w:ilvl w:val="0"/>
                <w:numId w:val="0"/>
              </w:numPr>
              <w:spacing w:before="40" w:after="40" w:line="240" w:lineRule="auto"/>
              <w:rPr>
                <w:b w:val="0"/>
                <w:color w:val="000000" w:themeColor="text1"/>
                <w:sz w:val="16"/>
                <w:szCs w:val="16"/>
              </w:rPr>
            </w:pPr>
            <w:r w:rsidRPr="00C613D1">
              <w:rPr>
                <w:b w:val="0"/>
                <w:color w:val="000000" w:themeColor="text1"/>
                <w:sz w:val="16"/>
                <w:szCs w:val="16"/>
              </w:rPr>
              <w:t>Niewystarczająca ochrona dziedzictwa kulturowego i promocja walorów przyrodniczych</w:t>
            </w:r>
          </w:p>
          <w:p w:rsidR="000326FF" w:rsidRPr="00C613D1" w:rsidRDefault="000326FF" w:rsidP="006D02C5">
            <w:pPr>
              <w:pStyle w:val="S1"/>
              <w:numPr>
                <w:ilvl w:val="0"/>
                <w:numId w:val="0"/>
              </w:numPr>
              <w:spacing w:before="40" w:after="40" w:line="240" w:lineRule="auto"/>
              <w:rPr>
                <w:b w:val="0"/>
                <w:color w:val="000000" w:themeColor="text1"/>
                <w:sz w:val="16"/>
                <w:szCs w:val="16"/>
              </w:rPr>
            </w:pPr>
          </w:p>
          <w:p w:rsidR="000326FF" w:rsidRPr="00C613D1" w:rsidRDefault="000326FF" w:rsidP="00324C7B">
            <w:pPr>
              <w:spacing w:before="40" w:after="40" w:line="240" w:lineRule="auto"/>
              <w:jc w:val="center"/>
              <w:rPr>
                <w:rFonts w:ascii="Garamond" w:eastAsia="Times New Roman" w:hAnsi="Garamond" w:cs="Arial"/>
                <w:bCs/>
                <w:color w:val="000000" w:themeColor="text1"/>
                <w:sz w:val="16"/>
                <w:szCs w:val="16"/>
              </w:rPr>
            </w:pPr>
            <w:r w:rsidRPr="00C613D1">
              <w:rPr>
                <w:rFonts w:ascii="Garamond" w:hAnsi="Garamond"/>
                <w:color w:val="000000" w:themeColor="text1"/>
                <w:sz w:val="16"/>
                <w:szCs w:val="16"/>
              </w:rPr>
              <w:lastRenderedPageBreak/>
              <w:t>Zły stan techniczny części zabytków i obiektów kultury</w:t>
            </w:r>
          </w:p>
        </w:tc>
        <w:tc>
          <w:tcPr>
            <w:tcW w:w="386"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lastRenderedPageBreak/>
              <w:t>2017</w:t>
            </w:r>
          </w:p>
        </w:tc>
        <w:tc>
          <w:tcPr>
            <w:tcW w:w="450" w:type="pct"/>
            <w:shd w:val="clear" w:color="auto" w:fill="FFFFFF" w:themeFill="background1"/>
            <w:vAlign w:val="center"/>
          </w:tcPr>
          <w:p w:rsidR="000326FF" w:rsidRPr="00C613D1" w:rsidRDefault="000326FF" w:rsidP="00324C7B">
            <w:pPr>
              <w:spacing w:before="40" w:after="40" w:line="240" w:lineRule="auto"/>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Gmina Bobrowo</w:t>
            </w:r>
          </w:p>
        </w:tc>
        <w:tc>
          <w:tcPr>
            <w:tcW w:w="579" w:type="pct"/>
            <w:shd w:val="clear" w:color="auto" w:fill="FFFFFF" w:themeFill="background1"/>
            <w:vAlign w:val="center"/>
          </w:tcPr>
          <w:p w:rsidR="000326FF" w:rsidRPr="00C613D1" w:rsidRDefault="000326FF" w:rsidP="00324C7B">
            <w:pPr>
              <w:spacing w:before="40" w:after="40" w:line="240" w:lineRule="auto"/>
              <w:jc w:val="right"/>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500 000,00</w:t>
            </w:r>
          </w:p>
        </w:tc>
        <w:tc>
          <w:tcPr>
            <w:tcW w:w="514" w:type="pct"/>
            <w:shd w:val="clear" w:color="auto" w:fill="FFFFFF" w:themeFill="background1"/>
            <w:vAlign w:val="center"/>
          </w:tcPr>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EFRR</w:t>
            </w:r>
          </w:p>
          <w:p w:rsidR="000326FF" w:rsidRPr="00C613D1"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Środki własne</w:t>
            </w:r>
          </w:p>
        </w:tc>
        <w:tc>
          <w:tcPr>
            <w:tcW w:w="257" w:type="pct"/>
            <w:shd w:val="clear" w:color="auto" w:fill="FFFFFF" w:themeFill="background1"/>
            <w:vAlign w:val="center"/>
          </w:tcPr>
          <w:p w:rsidR="000326FF" w:rsidRPr="00C613D1" w:rsidRDefault="000326FF" w:rsidP="00324C7B">
            <w:pPr>
              <w:spacing w:before="40" w:after="40" w:line="240" w:lineRule="auto"/>
              <w:jc w:val="center"/>
              <w:rPr>
                <w:rFonts w:ascii="Garamond" w:eastAsia="Times New Roman" w:hAnsi="Garamond" w:cs="Arial"/>
                <w:color w:val="000000" w:themeColor="text1"/>
                <w:sz w:val="16"/>
                <w:szCs w:val="16"/>
              </w:rPr>
            </w:pPr>
            <w:r w:rsidRPr="00C613D1">
              <w:rPr>
                <w:rFonts w:ascii="Garamond" w:eastAsia="Times New Roman" w:hAnsi="Garamond" w:cs="Arial"/>
                <w:color w:val="000000" w:themeColor="text1"/>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lastRenderedPageBreak/>
              <w:t>7</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Budowa ścieżki rowerowej Małki – Wymokłe etap II</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ind w:hanging="19"/>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ind w:left="72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720 000,00</w:t>
            </w:r>
            <w:r w:rsidRPr="00953A9C">
              <w:br w:type="page"/>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sz w:val="16"/>
                <w:szCs w:val="16"/>
              </w:rPr>
            </w:pPr>
            <w:r>
              <w:rPr>
                <w:rFonts w:ascii="Garamond" w:hAnsi="Garamond"/>
                <w:sz w:val="16"/>
                <w:szCs w:val="16"/>
              </w:rPr>
              <w:t>8</w:t>
            </w:r>
          </w:p>
        </w:tc>
        <w:tc>
          <w:tcPr>
            <w:tcW w:w="1146"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 xml:space="preserve">Budowa ścieżki rowerowej Wichulec – </w:t>
            </w:r>
            <w:proofErr w:type="spellStart"/>
            <w:r w:rsidRPr="00953A9C">
              <w:rPr>
                <w:rFonts w:ascii="Garamond" w:hAnsi="Garamond"/>
                <w:sz w:val="16"/>
                <w:szCs w:val="16"/>
              </w:rPr>
              <w:t>Grzybno</w:t>
            </w:r>
            <w:proofErr w:type="spellEnd"/>
            <w:r w:rsidRPr="00953A9C">
              <w:rPr>
                <w:rFonts w:ascii="Garamond" w:hAnsi="Garamond"/>
                <w:sz w:val="16"/>
                <w:szCs w:val="16"/>
              </w:rPr>
              <w:t xml:space="preserve"> – Drużyny </w:t>
            </w:r>
          </w:p>
        </w:tc>
        <w:tc>
          <w:tcPr>
            <w:tcW w:w="698"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Gmina Bobrowo</w:t>
            </w:r>
          </w:p>
        </w:tc>
        <w:tc>
          <w:tcPr>
            <w:tcW w:w="782"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Obniżony poziom infrastruktury technicznej</w:t>
            </w:r>
          </w:p>
          <w:p w:rsidR="000326FF" w:rsidRPr="00953A9C" w:rsidRDefault="000326FF" w:rsidP="00324C7B">
            <w:pPr>
              <w:pStyle w:val="NormalnyWeb"/>
              <w:spacing w:before="0" w:beforeAutospacing="0" w:after="0" w:afterAutospacing="0"/>
              <w:jc w:val="center"/>
              <w:rPr>
                <w:sz w:val="20"/>
              </w:rPr>
            </w:pPr>
            <w:r w:rsidRPr="00953A9C">
              <w:br w:type="page"/>
            </w:r>
            <w:r w:rsidRPr="00953A9C">
              <w:br w:type="page"/>
            </w:r>
          </w:p>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Niewystarczająca ilość ścieżek rowerowych i chodników</w:t>
            </w:r>
            <w:r w:rsidRPr="00953A9C">
              <w:br w:type="page"/>
            </w:r>
          </w:p>
        </w:tc>
        <w:tc>
          <w:tcPr>
            <w:tcW w:w="386"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2016-2018</w:t>
            </w:r>
          </w:p>
        </w:tc>
        <w:tc>
          <w:tcPr>
            <w:tcW w:w="450" w:type="pct"/>
            <w:shd w:val="clear" w:color="auto" w:fill="FFFFFF" w:themeFill="background1"/>
            <w:vAlign w:val="center"/>
          </w:tcPr>
          <w:p w:rsidR="000326FF" w:rsidRPr="00953A9C" w:rsidRDefault="000326FF" w:rsidP="00324C7B">
            <w:pPr>
              <w:pStyle w:val="NormalnyWeb"/>
              <w:spacing w:before="0" w:beforeAutospacing="0" w:after="0" w:afterAutospacing="0"/>
            </w:pPr>
            <w:r w:rsidRPr="00953A9C">
              <w:rPr>
                <w:rFonts w:ascii="Garamond" w:hAnsi="Garamond"/>
                <w:sz w:val="16"/>
                <w:szCs w:val="16"/>
              </w:rPr>
              <w:t>Gmina Bobrowo</w:t>
            </w:r>
          </w:p>
        </w:tc>
        <w:tc>
          <w:tcPr>
            <w:tcW w:w="579" w:type="pct"/>
            <w:shd w:val="clear" w:color="auto" w:fill="FFFFFF" w:themeFill="background1"/>
            <w:vAlign w:val="center"/>
          </w:tcPr>
          <w:p w:rsidR="000326FF" w:rsidRPr="00953A9C" w:rsidRDefault="000326FF" w:rsidP="00324C7B">
            <w:pPr>
              <w:pStyle w:val="NormalnyWeb"/>
              <w:spacing w:before="0" w:beforeAutospacing="0" w:after="0" w:afterAutospacing="0"/>
              <w:jc w:val="right"/>
            </w:pPr>
            <w:r w:rsidRPr="00953A9C">
              <w:rPr>
                <w:rFonts w:ascii="Garamond" w:hAnsi="Garamond"/>
                <w:sz w:val="16"/>
                <w:szCs w:val="16"/>
              </w:rPr>
              <w:t>1 200 000,00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pStyle w:val="NormalnyWeb"/>
              <w:spacing w:before="0" w:beforeAutospacing="0" w:after="0" w:afterAutospacing="0"/>
              <w:jc w:val="center"/>
            </w:pPr>
            <w:r w:rsidRPr="00953A9C">
              <w:rPr>
                <w:rFonts w:ascii="Garamond" w:hAnsi="Garamond"/>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after="0"/>
              <w:jc w:val="center"/>
              <w:rPr>
                <w:rFonts w:ascii="Garamond" w:hAnsi="Garamond" w:cs="Arial"/>
                <w:sz w:val="16"/>
                <w:szCs w:val="16"/>
              </w:rPr>
            </w:pPr>
            <w:r>
              <w:rPr>
                <w:rFonts w:ascii="Garamond" w:hAnsi="Garamond" w:cs="Arial"/>
                <w:sz w:val="16"/>
                <w:szCs w:val="16"/>
              </w:rPr>
              <w:t>9</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Budowa ścieżki pieszo-rowerowej wokół jeziora Niskie Brodno do drogi powiatowej w miejscowości Żmijewo </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Bobrowo, Gmina Miasta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01.2015-04.2018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Bobrowo</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Brodnica</w:t>
            </w:r>
          </w:p>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Zbiczno</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4 500 000,00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10</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Budowa ścieżki rowerowej wzdłuż ul. Cmentarnej</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sz w:val="16"/>
                <w:szCs w:val="16"/>
              </w:rPr>
            </w:pPr>
          </w:p>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Niewystarczająca ilość ścieżek rowerowych i chodników</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06.2016-11.2016</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160 000,00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4e</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11</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Wzbogacenie atrakcyjności kulturowej kościoła poprzez konserwację elewacji i utworzenie lapidarium</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Parafia Rzymsko-Katolicka p. w. Św. Katarzyny Aleksandryjskiej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2016-2018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1 880 000,00</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w:t>
            </w:r>
            <w:r>
              <w:rPr>
                <w:rFonts w:ascii="Garamond" w:hAnsi="Garamond" w:cs="Arial"/>
                <w:sz w:val="16"/>
                <w:szCs w:val="16"/>
              </w:rPr>
              <w:t>2</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Utworzenie Centrum Edukacji Historyczno-Kulturowej w zrewitalizowanym zespole zamkowo-pałacowym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ochrona dziedzictwa kulturowego i promocja walorów przyrodniczych</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hAnsi="Garamond"/>
                <w:sz w:val="16"/>
                <w:szCs w:val="16"/>
              </w:rPr>
              <w:t>Zły stan techniczny części zabytków i obiektów kultury</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11.2015-03.2018</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7 220 221,73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6c</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13</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Pr>
                <w:rFonts w:ascii="Garamond" w:hAnsi="Garamond" w:cs="Arial"/>
                <w:sz w:val="16"/>
                <w:szCs w:val="16"/>
              </w:rPr>
              <w:t>U</w:t>
            </w:r>
            <w:r w:rsidRPr="00953A9C">
              <w:rPr>
                <w:rFonts w:ascii="Garamond" w:hAnsi="Garamond" w:cs="Arial"/>
                <w:sz w:val="16"/>
                <w:szCs w:val="16"/>
              </w:rPr>
              <w:t>tworzenie  Centrum Turystyki Aktywnej</w:t>
            </w:r>
            <w:r>
              <w:rPr>
                <w:rFonts w:ascii="Garamond" w:hAnsi="Garamond" w:cs="Arial"/>
                <w:sz w:val="16"/>
                <w:szCs w:val="16"/>
              </w:rPr>
              <w:t xml:space="preserve"> nad jeziorem Niskie Brodno w Brodnicy</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Gmina Miasta Brodnica</w:t>
            </w:r>
          </w:p>
        </w:tc>
        <w:tc>
          <w:tcPr>
            <w:tcW w:w="782"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sz w:val="16"/>
                <w:szCs w:val="16"/>
              </w:rPr>
              <w:t>Ochrona dziedzictwa kulturowego regionu i promocja walorów przyrodniczych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03.2016-04.2017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Pr>
                <w:rFonts w:ascii="Garamond" w:hAnsi="Garamond" w:cs="Arial"/>
                <w:sz w:val="16"/>
                <w:szCs w:val="16"/>
              </w:rPr>
              <w:t>3</w:t>
            </w:r>
            <w:r w:rsidRPr="00953A9C">
              <w:rPr>
                <w:rFonts w:ascii="Garamond" w:hAnsi="Garamond" w:cs="Arial"/>
                <w:sz w:val="16"/>
                <w:szCs w:val="16"/>
              </w:rPr>
              <w:t xml:space="preserve"> 200 000,00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9b</w:t>
            </w:r>
          </w:p>
        </w:tc>
      </w:tr>
      <w:tr w:rsidR="000326FF" w:rsidRPr="00953A9C" w:rsidTr="00324C7B">
        <w:tc>
          <w:tcPr>
            <w:tcW w:w="18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Pr>
                <w:rFonts w:ascii="Garamond" w:hAnsi="Garamond" w:cs="Arial"/>
                <w:sz w:val="16"/>
                <w:szCs w:val="16"/>
              </w:rPr>
              <w:t>14</w:t>
            </w:r>
          </w:p>
        </w:tc>
        <w:tc>
          <w:tcPr>
            <w:tcW w:w="1146"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 xml:space="preserve">Zwiększenie liczby miejsc w przedszkolach poprzez ich rozbudowę oraz adaptację istniejących pomieszczeń wraz z budową placów </w:t>
            </w:r>
            <w:r w:rsidRPr="00953A9C">
              <w:rPr>
                <w:rFonts w:ascii="Garamond" w:hAnsi="Garamond" w:cs="Arial"/>
                <w:sz w:val="16"/>
                <w:szCs w:val="16"/>
              </w:rPr>
              <w:lastRenderedPageBreak/>
              <w:t>zabaw</w:t>
            </w:r>
          </w:p>
        </w:tc>
        <w:tc>
          <w:tcPr>
            <w:tcW w:w="698"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Gmina Miasta Brodnica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Nowoczesna oferta edukacyjna odpowiadająca potrzebom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strike/>
                <w:color w:val="auto"/>
                <w:sz w:val="16"/>
                <w:szCs w:val="16"/>
              </w:rPr>
            </w:pPr>
            <w:r w:rsidRPr="00953A9C">
              <w:rPr>
                <w:b w:val="0"/>
                <w:color w:val="auto"/>
                <w:sz w:val="16"/>
                <w:szCs w:val="16"/>
              </w:rPr>
              <w:t>Upowszechnianie edukacji przedszkolnej poprzez modernizację i doposażenie obiektów przedszkolnych</w:t>
            </w:r>
          </w:p>
        </w:tc>
        <w:tc>
          <w:tcPr>
            <w:tcW w:w="386"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lastRenderedPageBreak/>
              <w:t>07.2015-08.2017</w:t>
            </w:r>
          </w:p>
        </w:tc>
        <w:tc>
          <w:tcPr>
            <w:tcW w:w="450" w:type="pct"/>
            <w:shd w:val="clear" w:color="auto" w:fill="FFFFFF" w:themeFill="background1"/>
            <w:vAlign w:val="center"/>
          </w:tcPr>
          <w:p w:rsidR="000326FF" w:rsidRPr="00953A9C" w:rsidRDefault="000326FF" w:rsidP="00324C7B">
            <w:pPr>
              <w:spacing w:before="40" w:after="40"/>
              <w:rPr>
                <w:rFonts w:ascii="Garamond" w:hAnsi="Garamond" w:cs="Arial"/>
                <w:sz w:val="16"/>
                <w:szCs w:val="16"/>
              </w:rPr>
            </w:pPr>
            <w:r w:rsidRPr="00953A9C">
              <w:rPr>
                <w:rFonts w:ascii="Garamond" w:hAnsi="Garamond" w:cs="Arial"/>
                <w:sz w:val="16"/>
                <w:szCs w:val="16"/>
              </w:rPr>
              <w:t>Gmina Miasta Brodnica</w:t>
            </w:r>
          </w:p>
        </w:tc>
        <w:tc>
          <w:tcPr>
            <w:tcW w:w="579" w:type="pct"/>
            <w:shd w:val="clear" w:color="auto" w:fill="FFFFFF" w:themeFill="background1"/>
            <w:vAlign w:val="center"/>
          </w:tcPr>
          <w:p w:rsidR="000326FF" w:rsidRPr="00953A9C" w:rsidRDefault="000326FF" w:rsidP="00324C7B">
            <w:pPr>
              <w:spacing w:before="40" w:after="40"/>
              <w:jc w:val="right"/>
              <w:rPr>
                <w:rFonts w:ascii="Garamond" w:hAnsi="Garamond" w:cs="Arial"/>
                <w:sz w:val="16"/>
                <w:szCs w:val="16"/>
              </w:rPr>
            </w:pPr>
            <w:r w:rsidRPr="00953A9C">
              <w:rPr>
                <w:rFonts w:ascii="Garamond" w:hAnsi="Garamond" w:cs="Arial"/>
                <w:sz w:val="16"/>
                <w:szCs w:val="16"/>
              </w:rPr>
              <w:t xml:space="preserve">3 750 000,00 </w:t>
            </w:r>
          </w:p>
        </w:tc>
        <w:tc>
          <w:tcPr>
            <w:tcW w:w="514" w:type="pct"/>
            <w:shd w:val="clear" w:color="auto" w:fill="FFFFFF" w:themeFill="background1"/>
            <w:vAlign w:val="center"/>
          </w:tcPr>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EFRR</w:t>
            </w:r>
          </w:p>
          <w:p w:rsidR="000326FF" w:rsidRPr="00953A9C"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953A9C">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953A9C" w:rsidRDefault="000326FF" w:rsidP="00324C7B">
            <w:pPr>
              <w:spacing w:before="40" w:after="40"/>
              <w:jc w:val="center"/>
              <w:rPr>
                <w:rFonts w:ascii="Garamond" w:hAnsi="Garamond" w:cs="Arial"/>
                <w:sz w:val="16"/>
                <w:szCs w:val="16"/>
              </w:rPr>
            </w:pPr>
            <w:r w:rsidRPr="00953A9C">
              <w:rPr>
                <w:rFonts w:ascii="Garamond" w:hAnsi="Garamond" w:cs="Arial"/>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15</w:t>
            </w:r>
          </w:p>
        </w:tc>
        <w:tc>
          <w:tcPr>
            <w:tcW w:w="1146" w:type="pct"/>
            <w:shd w:val="clear" w:color="auto" w:fill="FFFFFF" w:themeFill="background1"/>
            <w:vAlign w:val="center"/>
          </w:tcPr>
          <w:p w:rsidR="000326FF" w:rsidRPr="001534A8" w:rsidRDefault="000326FF" w:rsidP="00324C7B">
            <w:pPr>
              <w:rPr>
                <w:rFonts w:ascii="Garamond" w:hAnsi="Garamond" w:cs="Times New Roman"/>
                <w:color w:val="000000"/>
                <w:sz w:val="16"/>
                <w:szCs w:val="16"/>
              </w:rPr>
            </w:pPr>
            <w:r w:rsidRPr="001534A8">
              <w:rPr>
                <w:rFonts w:ascii="Garamond" w:hAnsi="Garamond" w:cs="Times New Roman"/>
                <w:color w:val="000000"/>
                <w:sz w:val="16"/>
                <w:szCs w:val="16"/>
              </w:rPr>
              <w:t>Budowa ścieżki pieszo-rowerowej z Szabdy do Mszana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Gmina Brodnica</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VI 2015-2018</w:t>
            </w:r>
          </w:p>
        </w:tc>
        <w:tc>
          <w:tcPr>
            <w:tcW w:w="450" w:type="pct"/>
            <w:shd w:val="clear" w:color="auto" w:fill="FFFFFF" w:themeFill="background1"/>
            <w:vAlign w:val="center"/>
          </w:tcPr>
          <w:p w:rsidR="000326FF" w:rsidRPr="001534A8" w:rsidRDefault="000326FF" w:rsidP="00324C7B">
            <w:pPr>
              <w:spacing w:before="40" w:after="40"/>
              <w:rPr>
                <w:rFonts w:ascii="Garamond" w:hAnsi="Garamond" w:cs="Arial"/>
                <w:sz w:val="16"/>
                <w:szCs w:val="16"/>
              </w:rPr>
            </w:pPr>
            <w:r w:rsidRPr="001534A8">
              <w:rPr>
                <w:rFonts w:ascii="Garamond" w:hAnsi="Garamond" w:cs="Arial"/>
                <w:color w:val="000000"/>
                <w:sz w:val="16"/>
                <w:szCs w:val="16"/>
              </w:rPr>
              <w:t>Gmina Brodnica</w:t>
            </w:r>
          </w:p>
        </w:tc>
        <w:tc>
          <w:tcPr>
            <w:tcW w:w="579" w:type="pct"/>
            <w:shd w:val="clear" w:color="auto" w:fill="FFFFFF" w:themeFill="background1"/>
            <w:vAlign w:val="center"/>
          </w:tcPr>
          <w:p w:rsidR="000326FF" w:rsidRPr="001534A8" w:rsidRDefault="000326FF" w:rsidP="00324C7B">
            <w:pPr>
              <w:jc w:val="right"/>
              <w:rPr>
                <w:rFonts w:ascii="Garamond" w:hAnsi="Garamond" w:cs="Times New Roman"/>
                <w:color w:val="000000"/>
                <w:sz w:val="16"/>
                <w:szCs w:val="16"/>
              </w:rPr>
            </w:pPr>
            <w:r w:rsidRPr="001534A8">
              <w:rPr>
                <w:rFonts w:ascii="Garamond" w:hAnsi="Garamond" w:cs="Times New Roman"/>
                <w:color w:val="000000"/>
                <w:sz w:val="16"/>
                <w:szCs w:val="16"/>
              </w:rPr>
              <w:t>800 000,00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jc w:val="center"/>
              <w:rPr>
                <w:rFonts w:ascii="Garamond" w:hAnsi="Garamond" w:cs="Arial"/>
                <w:color w:val="000000"/>
                <w:sz w:val="16"/>
                <w:szCs w:val="16"/>
              </w:rPr>
            </w:pPr>
            <w:r w:rsidRPr="001534A8">
              <w:rPr>
                <w:rFonts w:ascii="Garamond"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16</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krajowej nr 15 z miejscowości Wielki Głęboczek (granica województwa) do miasta Brodnicy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Miasta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Brodnica</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04.2016-11.2018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Brzozie</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Miasta Brodnica </w:t>
            </w:r>
          </w:p>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Gmina Brodnica </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6 500 000,00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17</w:t>
            </w:r>
          </w:p>
        </w:tc>
        <w:tc>
          <w:tcPr>
            <w:tcW w:w="1146" w:type="pct"/>
            <w:shd w:val="clear" w:color="auto" w:fill="FFFFFF" w:themeFill="background1"/>
            <w:vAlign w:val="center"/>
          </w:tcPr>
          <w:p w:rsidR="000326FF" w:rsidRPr="001534A8" w:rsidRDefault="000326FF" w:rsidP="00324C7B">
            <w:pPr>
              <w:spacing w:before="40" w:after="40"/>
              <w:rPr>
                <w:rFonts w:ascii="Garamond" w:hAnsi="Garamond"/>
                <w:sz w:val="16"/>
                <w:szCs w:val="16"/>
              </w:rPr>
            </w:pPr>
            <w:r w:rsidRPr="001534A8">
              <w:rPr>
                <w:rFonts w:ascii="Garamond" w:hAnsi="Garamond"/>
                <w:sz w:val="16"/>
                <w:szCs w:val="16"/>
              </w:rPr>
              <w:t>Budowa ścieżki pieszo-rowerowej wzdłuż drogi powiatowej z Wielkiego Głęboczka (od drogi krajowej nr 15) do Brzozia</w:t>
            </w:r>
          </w:p>
        </w:tc>
        <w:tc>
          <w:tcPr>
            <w:tcW w:w="69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Gmina Brzozie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10.2016-04.2018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Brzozie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600 000,00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18</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Termomodernizacja budynku użyteczności publicznej w miejscowości Fiałki – element programu gospodarki niskoemisyjnej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Pr>
                <w:rFonts w:ascii="Garamond" w:eastAsia="Times New Roman" w:hAnsi="Garamond" w:cs="Arial"/>
                <w:color w:val="000000"/>
                <w:sz w:val="16"/>
                <w:szCs w:val="16"/>
              </w:rPr>
              <w:t>1 000 000,00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 xml:space="preserve">  </w:t>
            </w: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19</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Podniesienie atrakcyjności Kościoła pw. Krzyża Świętego w Górznie poprzez restaurację i konserwację elewacji zewnętrznej, dzwonnicy, remont kostnicy i salki kościelnej, zagospodarowanie terenu wokół Kościoła oraz stworzenie platformy widokowej i udostępnienie oraz restauracja katakumb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Parafia pod wezwaniem Podwyższenia Krzyża Świętego w Górznie</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05.2016-12.2019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Górzno</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2 650 000,00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20</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 Jabłonowo </w:t>
            </w:r>
            <w:proofErr w:type="spellStart"/>
            <w:r w:rsidRPr="00953A9C">
              <w:rPr>
                <w:rFonts w:ascii="Garamond" w:eastAsia="Times New Roman" w:hAnsi="Garamond" w:cs="Arial"/>
                <w:sz w:val="16"/>
                <w:szCs w:val="16"/>
              </w:rPr>
              <w:t>Pomorskie-Nowa</w:t>
            </w:r>
            <w:proofErr w:type="spellEnd"/>
            <w:r w:rsidRPr="00953A9C">
              <w:rPr>
                <w:rFonts w:ascii="Garamond" w:eastAsia="Times New Roman" w:hAnsi="Garamond" w:cs="Arial"/>
                <w:sz w:val="16"/>
                <w:szCs w:val="16"/>
              </w:rPr>
              <w:t xml:space="preserve"> Wieś</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2 341 062,50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sidRPr="001534A8">
              <w:rPr>
                <w:rFonts w:ascii="Garamond" w:hAnsi="Garamond" w:cs="Arial"/>
                <w:sz w:val="16"/>
                <w:szCs w:val="16"/>
              </w:rPr>
              <w:t>2</w:t>
            </w:r>
            <w:r>
              <w:rPr>
                <w:rFonts w:ascii="Garamond" w:hAnsi="Garamond" w:cs="Arial"/>
                <w:sz w:val="16"/>
                <w:szCs w:val="16"/>
              </w:rPr>
              <w:t>1</w:t>
            </w:r>
          </w:p>
        </w:tc>
        <w:tc>
          <w:tcPr>
            <w:tcW w:w="1146" w:type="pct"/>
            <w:shd w:val="clear" w:color="auto" w:fill="auto"/>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Budowa ścieżek rowerowych na terenie Miasta i Gminy Jabłonowo Pomorskie Jabłonowo </w:t>
            </w:r>
            <w:proofErr w:type="spellStart"/>
            <w:r w:rsidRPr="00953A9C">
              <w:rPr>
                <w:rFonts w:ascii="Garamond" w:eastAsia="Times New Roman" w:hAnsi="Garamond" w:cs="Arial"/>
                <w:sz w:val="16"/>
                <w:szCs w:val="16"/>
              </w:rPr>
              <w:t>Pomorskie-Rywałd</w:t>
            </w:r>
            <w:proofErr w:type="spellEnd"/>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04.2016-06.2018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Miasto i Gmina Jabłonowo Pomorskie</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787 500,00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4e</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lastRenderedPageBreak/>
              <w:t>22</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Remont budynku po byłej szkole w Dzierznie polegający na zmianie sposobu użytkowania na lokale mieszkalne, termomodernizacja budynku, zmiana instalacji centralnego ogrzewania oraz instalacji OZE</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 kw. 2019-IV kw. 2019</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1 000 000,00 </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auto"/>
            <w:vAlign w:val="center"/>
          </w:tcPr>
          <w:p w:rsidR="000326FF" w:rsidRPr="001534A8" w:rsidRDefault="000326FF" w:rsidP="00324C7B">
            <w:pPr>
              <w:spacing w:before="40" w:after="40"/>
              <w:jc w:val="center"/>
              <w:rPr>
                <w:rFonts w:ascii="Garamond" w:hAnsi="Garamond" w:cs="Arial"/>
                <w:sz w:val="16"/>
                <w:szCs w:val="16"/>
              </w:rPr>
            </w:pPr>
            <w:r>
              <w:rPr>
                <w:rFonts w:ascii="Garamond" w:hAnsi="Garamond" w:cs="Arial"/>
                <w:sz w:val="16"/>
                <w:szCs w:val="16"/>
              </w:rPr>
              <w:t>23</w:t>
            </w:r>
          </w:p>
        </w:tc>
        <w:tc>
          <w:tcPr>
            <w:tcW w:w="1146"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 xml:space="preserve">Remont budynku mieszkalnego w Świedziebni polegający na zmianie sposobu użytkowania na obiekt publiczny (odtworzenie dworu) wraz z renowacją parku </w:t>
            </w:r>
          </w:p>
        </w:tc>
        <w:tc>
          <w:tcPr>
            <w:tcW w:w="698"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782" w:type="pct"/>
            <w:shd w:val="clear" w:color="auto" w:fill="auto"/>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Niewystarczająca ochrona dziedzictwa kulturowego i promocja walorów przyrodniczych</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Zły stan techniczny części zabytków i obiektów kultury</w:t>
            </w:r>
          </w:p>
        </w:tc>
        <w:tc>
          <w:tcPr>
            <w:tcW w:w="386"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II kw. 2017-III kw.2018</w:t>
            </w:r>
          </w:p>
        </w:tc>
        <w:tc>
          <w:tcPr>
            <w:tcW w:w="450" w:type="pct"/>
            <w:shd w:val="clear" w:color="auto" w:fill="auto"/>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eastAsia="Times New Roman" w:hAnsi="Garamond" w:cs="Arial"/>
                <w:color w:val="000000"/>
                <w:sz w:val="16"/>
                <w:szCs w:val="16"/>
              </w:rPr>
              <w:t>Gmina Świedziebnia</w:t>
            </w:r>
          </w:p>
        </w:tc>
        <w:tc>
          <w:tcPr>
            <w:tcW w:w="579" w:type="pct"/>
            <w:shd w:val="clear" w:color="auto" w:fill="auto"/>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eastAsia="Times New Roman" w:hAnsi="Garamond" w:cs="Arial"/>
                <w:color w:val="000000"/>
                <w:sz w:val="16"/>
                <w:szCs w:val="16"/>
              </w:rPr>
              <w:t>2 000 000,00</w:t>
            </w:r>
          </w:p>
        </w:tc>
        <w:tc>
          <w:tcPr>
            <w:tcW w:w="514" w:type="pct"/>
            <w:shd w:val="clear" w:color="auto" w:fill="auto"/>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auto"/>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6c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Pr>
                <w:rFonts w:ascii="Garamond" w:hAnsi="Garamond"/>
                <w:sz w:val="16"/>
                <w:szCs w:val="16"/>
              </w:rPr>
              <w:t>24</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Zaprojektowanie i wykonanie kompleksowej termomodernizacji  budynku administracyjno-biurowego w Zbicznie</w:t>
            </w:r>
          </w:p>
          <w:p w:rsidR="000326FF" w:rsidRPr="001534A8" w:rsidRDefault="000326FF" w:rsidP="00324C7B">
            <w:pPr>
              <w:spacing w:before="40" w:after="40" w:line="240" w:lineRule="auto"/>
              <w:rPr>
                <w:rFonts w:ascii="Garamond" w:eastAsia="Times New Roman" w:hAnsi="Garamond" w:cs="Arial"/>
                <w:color w:val="000000"/>
                <w:sz w:val="16"/>
                <w:szCs w:val="16"/>
              </w:rPr>
            </w:pP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hAnsi="Garamond"/>
                <w:sz w:val="16"/>
                <w:szCs w:val="16"/>
              </w:rPr>
              <w:t>Gmina Zbiczno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color w:val="000000"/>
                <w:sz w:val="16"/>
                <w:szCs w:val="16"/>
              </w:rPr>
            </w:pPr>
            <w:r w:rsidRPr="001534A8">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color w:val="000000"/>
                <w:sz w:val="16"/>
                <w:szCs w:val="16"/>
              </w:rPr>
            </w:pPr>
            <w:r w:rsidRPr="001534A8">
              <w:rPr>
                <w:rFonts w:ascii="Garamond" w:hAnsi="Garamond"/>
                <w:sz w:val="16"/>
                <w:szCs w:val="16"/>
              </w:rPr>
              <w:t>500.000,00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jc w:val="center"/>
              <w:rPr>
                <w:rFonts w:ascii="Garamond" w:hAnsi="Garamond"/>
                <w:sz w:val="16"/>
                <w:szCs w:val="16"/>
              </w:rPr>
            </w:pPr>
            <w:r>
              <w:rPr>
                <w:rFonts w:ascii="Garamond" w:hAnsi="Garamond"/>
                <w:sz w:val="16"/>
                <w:szCs w:val="16"/>
              </w:rPr>
              <w:t>25</w:t>
            </w:r>
          </w:p>
        </w:tc>
        <w:tc>
          <w:tcPr>
            <w:tcW w:w="1146" w:type="pct"/>
            <w:shd w:val="clear" w:color="auto" w:fill="FFFFFF" w:themeFill="background1"/>
            <w:vAlign w:val="center"/>
          </w:tcPr>
          <w:p w:rsidR="000326FF" w:rsidRPr="001534A8" w:rsidRDefault="000326FF" w:rsidP="00324C7B">
            <w:pPr>
              <w:pStyle w:val="Zawartotabeli"/>
              <w:snapToGrid w:val="0"/>
              <w:rPr>
                <w:rFonts w:ascii="Garamond" w:hAnsi="Garamond"/>
                <w:sz w:val="16"/>
                <w:szCs w:val="16"/>
              </w:rPr>
            </w:pPr>
            <w:r w:rsidRPr="001534A8">
              <w:rPr>
                <w:rFonts w:ascii="Garamond" w:hAnsi="Garamond"/>
                <w:bCs/>
                <w:sz w:val="16"/>
                <w:szCs w:val="16"/>
              </w:rPr>
              <w:t xml:space="preserve">Zaprojektowanie i wykonanie kompleksowej termomodernizacji </w:t>
            </w:r>
            <w:r>
              <w:rPr>
                <w:rFonts w:ascii="Garamond" w:hAnsi="Garamond"/>
                <w:bCs/>
                <w:sz w:val="16"/>
                <w:szCs w:val="16"/>
              </w:rPr>
              <w:t xml:space="preserve">energetycznej </w:t>
            </w:r>
            <w:r w:rsidRPr="001534A8">
              <w:rPr>
                <w:rFonts w:ascii="Garamond" w:hAnsi="Garamond"/>
                <w:bCs/>
                <w:sz w:val="16"/>
                <w:szCs w:val="16"/>
              </w:rPr>
              <w:t xml:space="preserve"> budynku</w:t>
            </w:r>
            <w:r>
              <w:rPr>
                <w:rFonts w:ascii="Garamond" w:hAnsi="Garamond"/>
                <w:bCs/>
                <w:sz w:val="16"/>
                <w:szCs w:val="16"/>
              </w:rPr>
              <w:t xml:space="preserve"> przedszkola w Zespole Szkół w Zbicznie  </w:t>
            </w:r>
          </w:p>
          <w:p w:rsidR="000326FF" w:rsidRPr="001534A8" w:rsidRDefault="000326FF" w:rsidP="00324C7B">
            <w:pPr>
              <w:pStyle w:val="Zawartotabeli"/>
              <w:snapToGrid w:val="0"/>
              <w:rPr>
                <w:rFonts w:ascii="Garamond" w:hAnsi="Garamond"/>
                <w:bCs/>
                <w:sz w:val="16"/>
                <w:szCs w:val="16"/>
              </w:rPr>
            </w:pPr>
          </w:p>
        </w:tc>
        <w:tc>
          <w:tcPr>
            <w:tcW w:w="698" w:type="pct"/>
            <w:shd w:val="clear" w:color="auto" w:fill="FFFFFF" w:themeFill="background1"/>
            <w:vAlign w:val="center"/>
          </w:tcPr>
          <w:p w:rsidR="000326FF" w:rsidRDefault="000326FF" w:rsidP="00324C7B">
            <w:pPr>
              <w:spacing w:before="40" w:after="40" w:line="240" w:lineRule="auto"/>
              <w:jc w:val="center"/>
              <w:rPr>
                <w:rFonts w:ascii="Garamond" w:hAnsi="Garamond"/>
                <w:sz w:val="16"/>
                <w:szCs w:val="16"/>
              </w:rPr>
            </w:pPr>
            <w:r>
              <w:rPr>
                <w:rFonts w:ascii="Garamond" w:hAnsi="Garamond"/>
                <w:sz w:val="16"/>
                <w:szCs w:val="16"/>
              </w:rPr>
              <w:t>Gmina Zbiczno</w:t>
            </w:r>
          </w:p>
          <w:p w:rsidR="000326FF" w:rsidRPr="001534A8" w:rsidRDefault="000326FF" w:rsidP="00324C7B">
            <w:pPr>
              <w:spacing w:before="40" w:after="40" w:line="240" w:lineRule="auto"/>
              <w:rPr>
                <w:rFonts w:ascii="Garamond" w:hAnsi="Garamond"/>
                <w:sz w:val="16"/>
                <w:szCs w:val="16"/>
              </w:rPr>
            </w:pP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hAnsi="Garamond"/>
                <w:sz w:val="16"/>
                <w:szCs w:val="16"/>
              </w:rPr>
            </w:pPr>
            <w:r>
              <w:rPr>
                <w:rFonts w:ascii="Garamond" w:hAnsi="Garamond"/>
                <w:sz w:val="16"/>
                <w:szCs w:val="16"/>
              </w:rPr>
              <w:t>Gmina Zbiczno</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hAnsi="Garamond"/>
                <w:sz w:val="16"/>
                <w:szCs w:val="16"/>
              </w:rPr>
            </w:pPr>
            <w:r>
              <w:rPr>
                <w:rFonts w:ascii="Garamond" w:hAnsi="Garamond"/>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p w:rsidR="000326FF" w:rsidRPr="006343B1" w:rsidRDefault="000326FF" w:rsidP="00324C7B">
            <w:pPr>
              <w:spacing w:before="40" w:after="40" w:line="240" w:lineRule="auto"/>
              <w:rPr>
                <w:rFonts w:ascii="Garamond" w:eastAsia="Times New Roman" w:hAnsi="Garamond" w:cs="Arial"/>
                <w:color w:val="000000"/>
                <w:sz w:val="16"/>
                <w:szCs w:val="16"/>
              </w:rPr>
            </w:pP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Pr>
                <w:rFonts w:ascii="Garamond" w:eastAsia="Times New Roman" w:hAnsi="Garamond" w:cs="Arial"/>
                <w:color w:val="000000"/>
                <w:sz w:val="16"/>
                <w:szCs w:val="16"/>
              </w:rPr>
              <w:t>4c</w:t>
            </w:r>
          </w:p>
        </w:tc>
      </w:tr>
      <w:tr w:rsidR="000326FF" w:rsidRPr="00CA168D" w:rsidTr="00324C7B">
        <w:tc>
          <w:tcPr>
            <w:tcW w:w="188" w:type="pct"/>
            <w:shd w:val="clear" w:color="auto" w:fill="FFFFFF" w:themeFill="background1"/>
            <w:vAlign w:val="center"/>
          </w:tcPr>
          <w:p w:rsidR="000326FF" w:rsidRPr="001534A8" w:rsidRDefault="000326FF" w:rsidP="00324C7B">
            <w:pPr>
              <w:spacing w:before="40" w:after="40"/>
              <w:jc w:val="center"/>
              <w:rPr>
                <w:rFonts w:ascii="Garamond" w:hAnsi="Garamond"/>
                <w:sz w:val="16"/>
                <w:szCs w:val="16"/>
              </w:rPr>
            </w:pPr>
            <w:r w:rsidRPr="001534A8">
              <w:rPr>
                <w:rFonts w:ascii="Garamond" w:hAnsi="Garamond"/>
                <w:sz w:val="16"/>
                <w:szCs w:val="16"/>
              </w:rPr>
              <w:t>2</w:t>
            </w:r>
            <w:r>
              <w:rPr>
                <w:rFonts w:ascii="Garamond" w:hAnsi="Garamond"/>
                <w:sz w:val="16"/>
                <w:szCs w:val="16"/>
              </w:rPr>
              <w:t>6</w:t>
            </w:r>
          </w:p>
        </w:tc>
        <w:tc>
          <w:tcPr>
            <w:tcW w:w="1146" w:type="pct"/>
            <w:shd w:val="clear" w:color="auto" w:fill="FFFFFF" w:themeFill="background1"/>
            <w:vAlign w:val="center"/>
          </w:tcPr>
          <w:p w:rsidR="000326FF" w:rsidRPr="00CA168D" w:rsidRDefault="000326FF" w:rsidP="00324C7B">
            <w:pPr>
              <w:pStyle w:val="TableContents"/>
              <w:snapToGrid w:val="0"/>
              <w:rPr>
                <w:rStyle w:val="Pogrubienie"/>
                <w:rFonts w:ascii="Garamond" w:hAnsi="Garamond" w:cs="Times New Roman"/>
                <w:b w:val="0"/>
                <w:sz w:val="16"/>
                <w:szCs w:val="16"/>
              </w:rPr>
            </w:pPr>
            <w:r w:rsidRPr="00CA168D">
              <w:rPr>
                <w:rStyle w:val="StrongEmphasis"/>
                <w:sz w:val="16"/>
                <w:szCs w:val="16"/>
              </w:rPr>
              <w:t xml:space="preserve">Kompleksowa modernizacja energetyczna świetlicy </w:t>
            </w:r>
            <w:proofErr w:type="spellStart"/>
            <w:r w:rsidRPr="00CA168D">
              <w:rPr>
                <w:rStyle w:val="StrongEmphasis"/>
                <w:sz w:val="16"/>
                <w:szCs w:val="16"/>
              </w:rPr>
              <w:t>GOKSiR</w:t>
            </w:r>
            <w:proofErr w:type="spellEnd"/>
            <w:r w:rsidRPr="00CA168D">
              <w:rPr>
                <w:rStyle w:val="StrongEmphasis"/>
                <w:sz w:val="16"/>
                <w:szCs w:val="16"/>
              </w:rPr>
              <w:t xml:space="preserve"> w Zbicznie</w:t>
            </w:r>
          </w:p>
        </w:tc>
        <w:tc>
          <w:tcPr>
            <w:tcW w:w="698" w:type="pct"/>
            <w:shd w:val="clear" w:color="auto" w:fill="FFFFFF" w:themeFill="background1"/>
            <w:vAlign w:val="center"/>
          </w:tcPr>
          <w:p w:rsidR="000326FF" w:rsidRPr="00CA168D" w:rsidRDefault="000326FF" w:rsidP="00324C7B">
            <w:pPr>
              <w:spacing w:before="40" w:after="40" w:line="240" w:lineRule="auto"/>
              <w:jc w:val="center"/>
              <w:rPr>
                <w:rFonts w:ascii="Garamond" w:hAnsi="Garamond"/>
                <w:sz w:val="16"/>
                <w:szCs w:val="16"/>
              </w:rPr>
            </w:pPr>
            <w:r w:rsidRPr="00CA168D">
              <w:rPr>
                <w:rFonts w:ascii="Garamond" w:hAnsi="Garamond"/>
                <w:sz w:val="16"/>
                <w:szCs w:val="16"/>
              </w:rPr>
              <w:t>Gmina Zbiczno</w:t>
            </w:r>
          </w:p>
        </w:tc>
        <w:tc>
          <w:tcPr>
            <w:tcW w:w="782"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Obniżony poziom infrastruktury technicznej</w:t>
            </w:r>
          </w:p>
          <w:p w:rsidR="000326FF" w:rsidRPr="00CA168D" w:rsidRDefault="000326FF" w:rsidP="00324C7B">
            <w:pPr>
              <w:spacing w:before="40" w:after="40" w:line="240" w:lineRule="auto"/>
              <w:jc w:val="center"/>
              <w:rPr>
                <w:rFonts w:ascii="Garamond" w:eastAsia="Times New Roman" w:hAnsi="Garamond" w:cs="Arial"/>
                <w:bCs/>
                <w:sz w:val="16"/>
                <w:szCs w:val="16"/>
              </w:rPr>
            </w:pPr>
          </w:p>
          <w:p w:rsidR="000326FF" w:rsidRPr="00CA168D" w:rsidRDefault="000326FF" w:rsidP="00324C7B">
            <w:pPr>
              <w:spacing w:before="40" w:after="40" w:line="240" w:lineRule="auto"/>
              <w:jc w:val="center"/>
              <w:rPr>
                <w:rFonts w:ascii="Garamond" w:eastAsia="Times New Roman" w:hAnsi="Garamond" w:cs="Arial"/>
                <w:bCs/>
                <w:sz w:val="16"/>
                <w:szCs w:val="16"/>
              </w:rPr>
            </w:pPr>
            <w:r w:rsidRPr="00CA168D">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2018-2019</w:t>
            </w:r>
          </w:p>
        </w:tc>
        <w:tc>
          <w:tcPr>
            <w:tcW w:w="450" w:type="pct"/>
            <w:shd w:val="clear" w:color="auto" w:fill="FFFFFF" w:themeFill="background1"/>
            <w:vAlign w:val="center"/>
          </w:tcPr>
          <w:p w:rsidR="000326FF" w:rsidRPr="00CA168D" w:rsidRDefault="000326FF" w:rsidP="00324C7B">
            <w:pPr>
              <w:spacing w:before="40" w:after="40" w:line="240" w:lineRule="auto"/>
              <w:rPr>
                <w:rFonts w:ascii="Garamond" w:eastAsia="Times New Roman" w:hAnsi="Garamond" w:cs="Arial"/>
                <w:color w:val="000000"/>
                <w:sz w:val="16"/>
                <w:szCs w:val="16"/>
              </w:rPr>
            </w:pPr>
            <w:r w:rsidRPr="00CA168D">
              <w:rPr>
                <w:rFonts w:ascii="Garamond" w:hAnsi="Garamond"/>
                <w:sz w:val="16"/>
                <w:szCs w:val="16"/>
              </w:rPr>
              <w:t>Gmina Zbiczno</w:t>
            </w:r>
          </w:p>
        </w:tc>
        <w:tc>
          <w:tcPr>
            <w:tcW w:w="579" w:type="pct"/>
            <w:shd w:val="clear" w:color="auto" w:fill="FFFFFF" w:themeFill="background1"/>
            <w:vAlign w:val="center"/>
          </w:tcPr>
          <w:p w:rsidR="000326FF" w:rsidRPr="00CA168D" w:rsidRDefault="000326FF" w:rsidP="00324C7B">
            <w:pPr>
              <w:spacing w:before="40" w:after="40" w:line="240" w:lineRule="auto"/>
              <w:jc w:val="right"/>
              <w:rPr>
                <w:rFonts w:ascii="Garamond" w:hAnsi="Garamond" w:cs="Arial"/>
                <w:sz w:val="16"/>
                <w:szCs w:val="16"/>
              </w:rPr>
            </w:pPr>
            <w:r w:rsidRPr="00CA168D">
              <w:rPr>
                <w:rFonts w:ascii="Garamond" w:hAnsi="Garamond" w:cs="Arial"/>
                <w:sz w:val="16"/>
                <w:szCs w:val="16"/>
              </w:rPr>
              <w:t>400 000,00</w:t>
            </w:r>
          </w:p>
        </w:tc>
        <w:tc>
          <w:tcPr>
            <w:tcW w:w="514" w:type="pct"/>
            <w:shd w:val="clear" w:color="auto" w:fill="FFFFFF" w:themeFill="background1"/>
            <w:vAlign w:val="center"/>
          </w:tcPr>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EFRR</w:t>
            </w:r>
          </w:p>
          <w:p w:rsidR="000326FF" w:rsidRPr="00CA168D"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CA168D">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CA168D" w:rsidRDefault="000326FF" w:rsidP="00324C7B">
            <w:pPr>
              <w:spacing w:before="40" w:after="40" w:line="240" w:lineRule="auto"/>
              <w:jc w:val="center"/>
              <w:rPr>
                <w:rFonts w:ascii="Garamond" w:eastAsia="Times New Roman" w:hAnsi="Garamond" w:cs="Arial"/>
                <w:color w:val="000000"/>
                <w:sz w:val="16"/>
                <w:szCs w:val="16"/>
              </w:rPr>
            </w:pPr>
            <w:r w:rsidRPr="00CA168D">
              <w:rPr>
                <w:rFonts w:ascii="Garamond" w:eastAsia="Times New Roman" w:hAnsi="Garamond" w:cs="Arial"/>
                <w:color w:val="000000"/>
                <w:sz w:val="16"/>
                <w:szCs w:val="16"/>
              </w:rPr>
              <w:t>4c</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27</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Szkoła Zawodowych Innowacji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w:t>
            </w:r>
            <w:r>
              <w:rPr>
                <w:rFonts w:ascii="Garamond" w:eastAsia="Times New Roman" w:hAnsi="Garamond" w:cs="Arial"/>
                <w:bCs/>
                <w:sz w:val="16"/>
                <w:szCs w:val="16"/>
              </w:rPr>
              <w:lastRenderedPageBreak/>
              <w:t xml:space="preserve">Ustawicznego w </w:t>
            </w:r>
            <w:r w:rsidRPr="001534A8">
              <w:rPr>
                <w:rFonts w:ascii="Garamond" w:eastAsia="Times New Roman" w:hAnsi="Garamond" w:cs="Arial"/>
                <w:bCs/>
                <w:sz w:val="16"/>
                <w:szCs w:val="16"/>
              </w:rPr>
              <w:t xml:space="preserve">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lastRenderedPageBreak/>
              <w:t xml:space="preserve">Niepełne dopasowanie oferty edukacyjnej do potrzeb rynku </w:t>
            </w:r>
            <w:r w:rsidRPr="001534A8">
              <w:rPr>
                <w:b w:val="0"/>
                <w:color w:val="auto"/>
                <w:sz w:val="16"/>
                <w:szCs w:val="16"/>
              </w:rPr>
              <w:lastRenderedPageBreak/>
              <w:t>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Powiat </w:t>
            </w:r>
            <w:r w:rsidRPr="001534A8">
              <w:rPr>
                <w:rFonts w:ascii="Garamond" w:eastAsia="Times New Roman" w:hAnsi="Garamond" w:cs="Arial"/>
                <w:bCs/>
                <w:sz w:val="16"/>
                <w:szCs w:val="16"/>
              </w:rPr>
              <w:lastRenderedPageBreak/>
              <w:t>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lastRenderedPageBreak/>
              <w:t>1 234 000,00</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lastRenderedPageBreak/>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lastRenderedPageBreak/>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28</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Solidarne społeczeństwo</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Zakład Aktywności Zawodowej 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80 000,00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 xml:space="preserve">Podniesienie jakości usług edukacyjnych poprzez rozwój infrastruktury edukacyjnej </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Centrum Kształcenia Zawodowego i Ustawicznego </w:t>
            </w:r>
            <w:r w:rsidRPr="001534A8">
              <w:rPr>
                <w:rFonts w:ascii="Garamond" w:eastAsia="Times New Roman" w:hAnsi="Garamond" w:cs="Arial"/>
                <w:bCs/>
                <w:sz w:val="16"/>
                <w:szCs w:val="16"/>
              </w:rPr>
              <w:t>w Brodnicy</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hAnsi="Garamond"/>
                <w:sz w:val="16"/>
                <w:szCs w:val="16"/>
              </w:rPr>
              <w:t>Niedostateczne wyposażenie placówek kształcenia zawodowego w sprzęt dydaktyczny</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2016-2017</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sidRPr="001534A8">
              <w:rPr>
                <w:rFonts w:ascii="Garamond" w:eastAsia="Times New Roman" w:hAnsi="Garamond" w:cs="Arial"/>
                <w:bCs/>
                <w:sz w:val="16"/>
                <w:szCs w:val="16"/>
              </w:rPr>
              <w:t xml:space="preserve">150 000,00 </w:t>
            </w:r>
          </w:p>
        </w:tc>
        <w:tc>
          <w:tcPr>
            <w:tcW w:w="514" w:type="pct"/>
            <w:shd w:val="clear" w:color="auto" w:fill="FFFFFF" w:themeFill="background1"/>
            <w:vAlign w:val="center"/>
          </w:tcPr>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sidRPr="001534A8">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Pomorskie-Jabłonowo</w:t>
            </w:r>
            <w:proofErr w:type="spellEnd"/>
            <w:r w:rsidRPr="00953A9C">
              <w:rPr>
                <w:rFonts w:ascii="Garamond" w:eastAsia="Times New Roman" w:hAnsi="Garamond" w:cs="Arial"/>
                <w:bCs/>
                <w:sz w:val="16"/>
                <w:szCs w:val="16"/>
              </w:rPr>
              <w:t xml:space="preserve"> Zamek-Bukowiec-Lembarg-Kruszyny</w:t>
            </w:r>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4 282 687,50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 xml:space="preserve">Budowa ścieżek rowerowych na terenie Miasta i Gminy Jabłonowo Pomorskie -Jabłonowo </w:t>
            </w:r>
            <w:proofErr w:type="spellStart"/>
            <w:r w:rsidRPr="00953A9C">
              <w:rPr>
                <w:rFonts w:ascii="Garamond" w:eastAsia="Times New Roman" w:hAnsi="Garamond" w:cs="Arial"/>
                <w:bCs/>
                <w:sz w:val="16"/>
                <w:szCs w:val="16"/>
              </w:rPr>
              <w:t>Pomorskie-Górale-Konojady-Tomki</w:t>
            </w:r>
            <w:proofErr w:type="spellEnd"/>
          </w:p>
        </w:tc>
        <w:tc>
          <w:tcPr>
            <w:tcW w:w="698"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6D02C5">
            <w:pPr>
              <w:pStyle w:val="S1"/>
              <w:numPr>
                <w:ilvl w:val="0"/>
                <w:numId w:val="0"/>
              </w:numPr>
              <w:spacing w:before="40" w:after="40" w:line="240" w:lineRule="auto"/>
              <w:rPr>
                <w:b w:val="0"/>
                <w:color w:val="auto"/>
                <w:sz w:val="16"/>
                <w:szCs w:val="16"/>
              </w:rPr>
            </w:pPr>
            <w:r w:rsidRPr="001534A8">
              <w:rPr>
                <w:rFonts w:eastAsia="Times New Roman" w:cs="Arial"/>
                <w:color w:val="000000"/>
                <w:sz w:val="16"/>
                <w:szCs w:val="16"/>
              </w:rPr>
              <w:t>Niewystarczająca ilość ścieżek rowerowych i chodników</w:t>
            </w:r>
          </w:p>
        </w:tc>
        <w:tc>
          <w:tcPr>
            <w:tcW w:w="386"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Pr="001534A8"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5 280 187,50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Pr="001534A8"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1534A8" w:rsidTr="00324C7B">
        <w:tc>
          <w:tcPr>
            <w:tcW w:w="188"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Termomodernizacja budynku </w:t>
            </w:r>
            <w:proofErr w:type="spellStart"/>
            <w:r w:rsidRPr="00953A9C">
              <w:rPr>
                <w:rFonts w:ascii="Garamond" w:hAnsi="Garamond" w:cs="Arial"/>
                <w:sz w:val="16"/>
                <w:szCs w:val="16"/>
              </w:rPr>
              <w:t>mieszkalno</w:t>
            </w:r>
            <w:proofErr w:type="spellEnd"/>
            <w:r w:rsidRPr="00953A9C">
              <w:rPr>
                <w:rFonts w:ascii="Garamond" w:hAnsi="Garamond" w:cs="Arial"/>
                <w:sz w:val="16"/>
                <w:szCs w:val="16"/>
              </w:rPr>
              <w:t xml:space="preserve"> - użytkowego, wielorodzinnego przy ul. Duży Rynek 9 wraz z oficynami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Termomodernizacja budynku mieszkalnego, wielorodzinnego przy ul. Kolejowej 4</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63 000,00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w:t>
            </w:r>
            <w:r>
              <w:rPr>
                <w:rFonts w:ascii="Garamond" w:eastAsia="Times New Roman" w:hAnsi="Garamond" w:cs="Arial"/>
                <w:color w:val="000000"/>
                <w:sz w:val="16"/>
                <w:szCs w:val="16"/>
              </w:rPr>
              <w:lastRenderedPageBreak/>
              <w:t xml:space="preserve">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AF35B9">
              <w:rPr>
                <w:rFonts w:ascii="Garamond" w:hAnsi="Garamond" w:cs="Arial"/>
                <w:sz w:val="16"/>
                <w:szCs w:val="16"/>
              </w:rPr>
              <w:t>Termomodernizacja budynku mieszkalnego, wielorodzinnego przy ul. Hallera 13 I oficyna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Miasta Brodnicy</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80 400,00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 xml:space="preserve">Instrument finansowy – pożyczka </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35</w:t>
            </w:r>
          </w:p>
        </w:tc>
        <w:tc>
          <w:tcPr>
            <w:tcW w:w="1146" w:type="pct"/>
            <w:shd w:val="clear" w:color="auto" w:fill="FFFFFF" w:themeFill="background1"/>
            <w:vAlign w:val="center"/>
          </w:tcPr>
          <w:p w:rsidR="000326FF" w:rsidRPr="00AF35B9"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 xml:space="preserve">Wsparcie nauczycieli wychowania przedszkolnego ukierunkowane na podniesienie kwalifikacji w zakresie języka angielskiego w oddziale przedszkolnym w Szkole Podstawowej w  </w:t>
            </w:r>
            <w:proofErr w:type="spellStart"/>
            <w:r w:rsidRPr="00953A9C">
              <w:rPr>
                <w:rFonts w:ascii="Garamond" w:eastAsia="Times New Roman" w:hAnsi="Garamond" w:cs="Arial"/>
                <w:sz w:val="16"/>
                <w:szCs w:val="16"/>
              </w:rPr>
              <w:t>Płowężu</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AF35B9">
              <w:rPr>
                <w:rFonts w:ascii="Garamond" w:hAnsi="Garamond"/>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2015-2018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18 000,00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bibliotekarzy ukierunkowane na podniesienie kwalifikacji w zakresie bibliotekoznawstwa, udział w warsztatach i szkoleniach specjalistycznych, które biorą pod uwagę kierunek rozwoju biblioteki.</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Niepełne dopasowanie oferty edukacyjnej do potrzeb rynku pracy</w:t>
            </w:r>
          </w:p>
          <w:p w:rsidR="000326FF" w:rsidRPr="00AF35B9"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AF35B9">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25 000,00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Z angielskim za pan brat – rozwijanie kompetencji językowych uczniów z terenu gminy Bartniczka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rozwijania kompetencji </w:t>
            </w:r>
            <w:r w:rsidRPr="00953A9C">
              <w:rPr>
                <w:b w:val="0"/>
                <w:color w:val="auto"/>
                <w:sz w:val="16"/>
                <w:szCs w:val="16"/>
              </w:rPr>
              <w:lastRenderedPageBreak/>
              <w:t>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39 000,00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38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Nowe kompetencje już dziś – podniesienie kwalifikacji nauczycieli wychowania przedszkolnego z ukierunkowaniem na rozwój kompetencji kluczowych oraz indywidualnych potrzeb ucznia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AF35B9"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38 200,00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39</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bCs/>
                <w:sz w:val="16"/>
                <w:szCs w:val="16"/>
              </w:rPr>
              <w:t>Termomodernizacja budynków użyteczności publicznej – budynek Gimnazjum i Szkoły Podstawowej – Osiek , budynek Urzędu Gminy w Osieku oraz budynek Szkoły Podstawowej w Strzygach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Osiek</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953A9C" w:rsidRDefault="000326FF" w:rsidP="00324C7B">
            <w:pPr>
              <w:spacing w:before="40" w:after="40" w:line="240" w:lineRule="auto"/>
              <w:jc w:val="center"/>
              <w:rPr>
                <w:rFonts w:ascii="Garamond" w:eastAsia="Times New Roman" w:hAnsi="Garamond" w:cs="Arial"/>
                <w:bCs/>
                <w:sz w:val="16"/>
                <w:szCs w:val="16"/>
              </w:rPr>
            </w:pPr>
          </w:p>
          <w:p w:rsidR="000326FF" w:rsidRPr="006D02C5" w:rsidRDefault="000326FF" w:rsidP="006D02C5">
            <w:pPr>
              <w:pStyle w:val="S1"/>
              <w:numPr>
                <w:ilvl w:val="0"/>
                <w:numId w:val="0"/>
              </w:numPr>
              <w:spacing w:before="40" w:after="40" w:line="240" w:lineRule="auto"/>
              <w:rPr>
                <w:b w:val="0"/>
                <w:color w:val="auto"/>
                <w:sz w:val="16"/>
                <w:szCs w:val="16"/>
              </w:rPr>
            </w:pPr>
            <w:r w:rsidRPr="006D02C5">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Osiek</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40</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FF20C6">
              <w:rPr>
                <w:rStyle w:val="Pogrubienie"/>
                <w:rFonts w:ascii="Garamond" w:hAnsi="Garamond"/>
                <w:sz w:val="16"/>
                <w:szCs w:val="16"/>
              </w:rPr>
              <w:t xml:space="preserve">Zaprojektowanie i wykonanie kompleksowej modernizacji energetycznej obiektów kultury w miejscowości  Najmowo -świetlica </w:t>
            </w:r>
            <w:proofErr w:type="spellStart"/>
            <w:r w:rsidRPr="00FF20C6">
              <w:rPr>
                <w:rStyle w:val="Pogrubienie"/>
                <w:rFonts w:ascii="Garamond" w:hAnsi="Garamond"/>
                <w:sz w:val="16"/>
                <w:szCs w:val="16"/>
              </w:rPr>
              <w:t>GOKSiR</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41</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sidRPr="00953A9C">
              <w:rPr>
                <w:rFonts w:ascii="Garamond" w:hAnsi="Garamond"/>
                <w:bCs/>
                <w:sz w:val="16"/>
                <w:szCs w:val="16"/>
              </w:rPr>
              <w:t>Adaptacja pomieszczeń poddasza budynku Przedszkola w Zespole Szkół w Zbicznie na cele edukacji przedszkolnej</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Zbiczno</w:t>
            </w:r>
          </w:p>
        </w:tc>
        <w:tc>
          <w:tcPr>
            <w:tcW w:w="782" w:type="pct"/>
            <w:shd w:val="clear" w:color="auto" w:fill="FFFFFF" w:themeFill="background1"/>
            <w:vAlign w:val="center"/>
          </w:tcPr>
          <w:p w:rsidR="000326FF" w:rsidRPr="001534A8" w:rsidRDefault="000326FF" w:rsidP="006D02C5">
            <w:pPr>
              <w:pStyle w:val="S1"/>
              <w:numPr>
                <w:ilvl w:val="0"/>
                <w:numId w:val="0"/>
              </w:numPr>
              <w:spacing w:before="40" w:after="40" w:line="240" w:lineRule="auto"/>
              <w:rPr>
                <w:b w:val="0"/>
                <w:color w:val="auto"/>
                <w:sz w:val="16"/>
                <w:szCs w:val="16"/>
              </w:rPr>
            </w:pPr>
            <w:r w:rsidRPr="001534A8">
              <w:rPr>
                <w:b w:val="0"/>
                <w:color w:val="auto"/>
                <w:sz w:val="16"/>
                <w:szCs w:val="16"/>
              </w:rPr>
              <w:t>Niepełne dopasowanie oferty edukacyjnej do potrzeb rynku pracy</w:t>
            </w:r>
          </w:p>
          <w:p w:rsidR="000326FF" w:rsidRPr="001534A8" w:rsidRDefault="000326FF" w:rsidP="006D02C5">
            <w:pPr>
              <w:pStyle w:val="S1"/>
              <w:numPr>
                <w:ilvl w:val="0"/>
                <w:numId w:val="0"/>
              </w:numPr>
              <w:spacing w:before="40" w:after="40" w:line="240" w:lineRule="auto"/>
              <w:rPr>
                <w:b w:val="0"/>
                <w:color w:val="auto"/>
                <w:sz w:val="16"/>
                <w:szCs w:val="16"/>
              </w:rPr>
            </w:pPr>
          </w:p>
          <w:p w:rsidR="000326FF" w:rsidRPr="000C455D" w:rsidRDefault="000326FF" w:rsidP="006D02C5">
            <w:pPr>
              <w:pStyle w:val="S1"/>
              <w:numPr>
                <w:ilvl w:val="0"/>
                <w:numId w:val="0"/>
              </w:numPr>
              <w:spacing w:before="40" w:after="40" w:line="240" w:lineRule="auto"/>
              <w:rPr>
                <w:b w:val="0"/>
                <w:color w:val="auto"/>
                <w:sz w:val="16"/>
                <w:szCs w:val="16"/>
              </w:rPr>
            </w:pPr>
            <w:r w:rsidRPr="000C455D">
              <w:rPr>
                <w:b w:val="0"/>
                <w:color w:val="auto"/>
                <w:sz w:val="16"/>
                <w:szCs w:val="16"/>
              </w:rPr>
              <w:t>Niedostateczne wyposażenie placówek kształcenia zawodowego w sprzęt dydaktyczny</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Zbiczno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800 000,00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10a</w:t>
            </w:r>
          </w:p>
        </w:tc>
      </w:tr>
      <w:tr w:rsidR="000326FF" w:rsidRPr="001534A8"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42</w:t>
            </w:r>
          </w:p>
        </w:tc>
        <w:tc>
          <w:tcPr>
            <w:tcW w:w="1146" w:type="pct"/>
            <w:shd w:val="clear" w:color="auto" w:fill="FFFFFF" w:themeFill="background1"/>
            <w:vAlign w:val="center"/>
          </w:tcPr>
          <w:p w:rsidR="000326FF" w:rsidRPr="00FF20C6" w:rsidRDefault="000326FF" w:rsidP="00324C7B">
            <w:pPr>
              <w:spacing w:before="40" w:after="40" w:line="240" w:lineRule="auto"/>
              <w:rPr>
                <w:rStyle w:val="Pogrubienie"/>
                <w:rFonts w:ascii="Garamond" w:hAnsi="Garamond"/>
                <w:b w:val="0"/>
                <w:sz w:val="16"/>
                <w:szCs w:val="16"/>
              </w:rPr>
            </w:pPr>
            <w:r>
              <w:rPr>
                <w:rStyle w:val="Pogrubienie"/>
                <w:rFonts w:ascii="Garamond" w:hAnsi="Garamond"/>
                <w:sz w:val="16"/>
                <w:szCs w:val="16"/>
              </w:rPr>
              <w:t>Rodzina</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GOPS/Gmina Bartniczka</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Rozwój usług opiekuńczych skierowanych do osób starszych i niepełnosprawnych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150 000,00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color w:val="000000"/>
                <w:sz w:val="16"/>
                <w:szCs w:val="16"/>
              </w:rPr>
            </w:pPr>
            <w:r>
              <w:rPr>
                <w:rFonts w:ascii="Garamond" w:eastAsia="Times New Roman" w:hAnsi="Garamond" w:cs="Arial"/>
                <w:color w:val="000000"/>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9iv</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43</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cs="Arial"/>
                <w:sz w:val="16"/>
                <w:szCs w:val="16"/>
              </w:rPr>
              <w:t xml:space="preserve">Budowa przydomowych oczyszczalni ścieków </w:t>
            </w:r>
            <w:r w:rsidRPr="00B31555">
              <w:rPr>
                <w:rFonts w:ascii="Garamond" w:hAnsi="Garamond" w:cs="Arial"/>
                <w:sz w:val="16"/>
                <w:szCs w:val="16"/>
              </w:rPr>
              <w:lastRenderedPageBreak/>
              <w:t>oraz remont infrastruktury wod.-kan. na terenie Miasta i Gminy Jabłonowo Pomorskie</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 xml:space="preserve">Miasto i Gmina Jabłonowo </w:t>
            </w:r>
            <w:r w:rsidRPr="00B31555">
              <w:rPr>
                <w:rFonts w:ascii="Garamond" w:eastAsia="Times New Roman" w:hAnsi="Garamond" w:cs="Arial"/>
                <w:bCs/>
                <w:sz w:val="16"/>
                <w:szCs w:val="16"/>
              </w:rPr>
              <w:lastRenderedPageBreak/>
              <w:t>Pomorskie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lastRenderedPageBreak/>
              <w:t xml:space="preserve">Inwestowanie w sektor </w:t>
            </w:r>
            <w:r w:rsidRPr="00B31555">
              <w:rPr>
                <w:rFonts w:cs="Arial"/>
                <w:b w:val="0"/>
                <w:color w:val="auto"/>
                <w:kern w:val="24"/>
                <w:sz w:val="16"/>
                <w:szCs w:val="16"/>
              </w:rPr>
              <w:lastRenderedPageBreak/>
              <w:t xml:space="preserve">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 xml:space="preserve">Miasto i Gmina </w:t>
            </w:r>
            <w:r w:rsidRPr="00B31555">
              <w:rPr>
                <w:rFonts w:ascii="Garamond" w:eastAsia="Times New Roman" w:hAnsi="Garamond" w:cs="Arial"/>
                <w:bCs/>
                <w:sz w:val="16"/>
                <w:szCs w:val="16"/>
              </w:rPr>
              <w:lastRenderedPageBreak/>
              <w:t>Jabłonowo Pomorskie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lastRenderedPageBreak/>
              <w:t>6 200 702,00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lastRenderedPageBreak/>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44</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na terenie Gminy Brodnica.</w:t>
            </w:r>
            <w:r w:rsidRPr="00B31555">
              <w:rPr>
                <w:rFonts w:ascii="Garamond" w:hAnsi="Garamond"/>
              </w:rPr>
              <w:t xml:space="preserve">  </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2015-2018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4 000 000,00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45</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 xml:space="preserve">Odtworzenie ujęcia wody w </w:t>
            </w:r>
            <w:proofErr w:type="spellStart"/>
            <w:r w:rsidRPr="00B31555">
              <w:rPr>
                <w:rFonts w:ascii="Garamond" w:hAnsi="Garamond"/>
                <w:sz w:val="16"/>
                <w:szCs w:val="16"/>
              </w:rPr>
              <w:t>Karbowie</w:t>
            </w:r>
            <w:proofErr w:type="spellEnd"/>
            <w:r w:rsidRPr="00B31555">
              <w:rPr>
                <w:rFonts w:ascii="Garamond" w:hAnsi="Garamond"/>
                <w:sz w:val="16"/>
                <w:szCs w:val="16"/>
              </w:rPr>
              <w:t>, wraz z budową  studni głębinowej,  budową stacji uzdatniania wody oraz rozbudową sieci wodociągowej  i  kanalizacji sanitarnej na terenie gminy</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Brodnica</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4 500 000,00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46</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przydomowych oczyszczalni ścieków</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b w:val="0"/>
                <w:color w:val="auto"/>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Bobrowo</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1 080 000,00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47</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Fonts w:ascii="Garamond" w:hAnsi="Garamond"/>
                <w:sz w:val="16"/>
                <w:szCs w:val="16"/>
              </w:rPr>
              <w:t>Budowa przydomowych oczyszczalni ścieków oraz budowa studni głębinowych wraz z przystosowaniem istniejącej infrastruktury i sieci wodociągowej</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 xml:space="preserve">Gmina Brzozie </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w:t>
            </w:r>
            <w:r w:rsidRPr="00B31555">
              <w:rPr>
                <w:rFonts w:cs="Arial"/>
                <w:b w:val="0"/>
                <w:color w:val="auto"/>
                <w:kern w:val="24"/>
                <w:sz w:val="16"/>
                <w:szCs w:val="16"/>
              </w:rPr>
              <w:lastRenderedPageBreak/>
              <w:t xml:space="preserve">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2016-2018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2 550 000,00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lastRenderedPageBreak/>
              <w:t>48</w:t>
            </w:r>
          </w:p>
        </w:tc>
        <w:tc>
          <w:tcPr>
            <w:tcW w:w="1146" w:type="pct"/>
            <w:shd w:val="clear" w:color="auto" w:fill="FFFFFF" w:themeFill="background1"/>
            <w:vAlign w:val="center"/>
          </w:tcPr>
          <w:p w:rsidR="000326FF" w:rsidRPr="00B31555" w:rsidRDefault="000326FF" w:rsidP="00324C7B">
            <w:pPr>
              <w:spacing w:before="40" w:after="40" w:line="240" w:lineRule="auto"/>
              <w:rPr>
                <w:rStyle w:val="Pogrubienie"/>
                <w:rFonts w:ascii="Garamond" w:hAnsi="Garamond"/>
                <w:b w:val="0"/>
                <w:sz w:val="16"/>
                <w:szCs w:val="16"/>
              </w:rPr>
            </w:pPr>
            <w:r w:rsidRPr="00B31555">
              <w:rPr>
                <w:rStyle w:val="Pogrubienie"/>
                <w:rFonts w:ascii="Garamond" w:hAnsi="Garamond"/>
                <w:sz w:val="16"/>
                <w:szCs w:val="16"/>
              </w:rPr>
              <w:t>Budowa kanalizacji sanitarnej dla miejscowość Brzozie- etap II, część II</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782" w:type="pct"/>
            <w:shd w:val="clear" w:color="auto" w:fill="FFFFFF" w:themeFill="background1"/>
            <w:vAlign w:val="center"/>
          </w:tcPr>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B31555">
              <w:rPr>
                <w:rFonts w:cs="Arial"/>
                <w:b w:val="0"/>
                <w:color w:val="auto"/>
                <w:kern w:val="24"/>
                <w:sz w:val="16"/>
                <w:szCs w:val="16"/>
              </w:rPr>
              <w:t xml:space="preserve">Inwestowanie w sektor gospodarki wodnej celem wypełnienia zobowiązań określonych w dorobku prawnym Unii  w zakresie środowiska oraz zaspokojenia wykraczających poza te zobowiązania potrzeb inwestycyjnych, określonych przez państwa członkowskie   </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2016-2017</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sidRPr="00B31555">
              <w:rPr>
                <w:rFonts w:ascii="Garamond" w:eastAsia="Times New Roman" w:hAnsi="Garamond" w:cs="Arial"/>
                <w:bCs/>
                <w:sz w:val="16"/>
                <w:szCs w:val="16"/>
              </w:rPr>
              <w:t>Gmina Brzozie</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sidRPr="00B31555">
              <w:rPr>
                <w:rFonts w:ascii="Garamond" w:eastAsia="Times New Roman" w:hAnsi="Garamond" w:cs="Arial"/>
                <w:bCs/>
                <w:sz w:val="16"/>
                <w:szCs w:val="16"/>
              </w:rPr>
              <w:t>2 650 000,00</w:t>
            </w:r>
          </w:p>
        </w:tc>
        <w:tc>
          <w:tcPr>
            <w:tcW w:w="514" w:type="pct"/>
            <w:shd w:val="clear" w:color="auto" w:fill="FFFFFF" w:themeFill="background1"/>
            <w:vAlign w:val="center"/>
          </w:tcPr>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sidRPr="00B31555">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sidRPr="00B31555">
              <w:rPr>
                <w:rFonts w:ascii="Garamond" w:eastAsia="Times New Roman" w:hAnsi="Garamond" w:cs="Arial"/>
                <w:bCs/>
                <w:sz w:val="16"/>
                <w:szCs w:val="16"/>
              </w:rPr>
              <w:t>6b</w:t>
            </w:r>
          </w:p>
        </w:tc>
      </w:tr>
      <w:tr w:rsidR="000326FF" w:rsidRPr="00B31555" w:rsidTr="00324C7B">
        <w:tc>
          <w:tcPr>
            <w:tcW w:w="18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49</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1534A8">
              <w:rPr>
                <w:rFonts w:ascii="Garamond" w:eastAsia="Times New Roman" w:hAnsi="Garamond" w:cs="Arial"/>
                <w:bCs/>
                <w:sz w:val="16"/>
                <w:szCs w:val="16"/>
              </w:rPr>
              <w:t>Termomodernizacja budynku użyteczności publicznej usytuowanego w Bartniczce przy ul. Łąkowej (pełniącego funkcję w części: przedszkola, biblioteki, mieszkalną)</w:t>
            </w:r>
          </w:p>
        </w:tc>
        <w:tc>
          <w:tcPr>
            <w:tcW w:w="698"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6D02C5">
            <w:pPr>
              <w:spacing w:before="40" w:after="40" w:line="240" w:lineRule="auto"/>
              <w:rPr>
                <w:rFonts w:ascii="Garamond" w:eastAsia="Times New Roman" w:hAnsi="Garamond" w:cs="Arial"/>
                <w:bCs/>
                <w:sz w:val="16"/>
                <w:szCs w:val="16"/>
              </w:rPr>
            </w:pPr>
          </w:p>
          <w:p w:rsidR="000326FF" w:rsidRPr="00B31555" w:rsidRDefault="000326FF" w:rsidP="006D02C5">
            <w:pPr>
              <w:pStyle w:val="S1"/>
              <w:numPr>
                <w:ilvl w:val="0"/>
                <w:numId w:val="0"/>
              </w:numPr>
              <w:spacing w:before="40" w:after="40" w:line="240" w:lineRule="auto"/>
              <w:rPr>
                <w:rFonts w:cs="Arial"/>
                <w:b w:val="0"/>
                <w:color w:val="auto"/>
                <w:kern w:val="24"/>
                <w:sz w:val="16"/>
                <w:szCs w:val="16"/>
              </w:rPr>
            </w:pPr>
            <w:r w:rsidRPr="0052765E">
              <w:rPr>
                <w:rFonts w:eastAsia="Times New Roman" w:cs="Arial"/>
                <w:b w:val="0"/>
                <w:bCs/>
                <w:color w:val="auto"/>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Pr="00B31555"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579" w:type="pct"/>
            <w:shd w:val="clear" w:color="auto" w:fill="FFFFFF" w:themeFill="background1"/>
            <w:vAlign w:val="center"/>
          </w:tcPr>
          <w:p w:rsidR="000326FF" w:rsidRPr="00B31555"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130 000,00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Pr="00B31555"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Pr="00B31555"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50 </w:t>
            </w:r>
          </w:p>
        </w:tc>
        <w:tc>
          <w:tcPr>
            <w:tcW w:w="1146" w:type="pct"/>
            <w:shd w:val="clear" w:color="auto" w:fill="FFFFFF" w:themeFill="background1"/>
            <w:vAlign w:val="center"/>
          </w:tcPr>
          <w:p w:rsidR="000326FF" w:rsidRPr="001534A8"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Termomodernizacja budynku użyteczności publicznej – usytuowanego w Bartniczce na terenie oczyszczalni ścieków</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Bartniczka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33 950,00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51</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eastAsia="Times New Roman" w:hAnsi="Garamond" w:cs="Arial"/>
                <w:bCs/>
                <w:sz w:val="16"/>
                <w:szCs w:val="16"/>
              </w:rPr>
              <w:t>Modernizacja energetyczna budynku Urzędu Gminy Bartniczka  poprzez docieplenie dachu, wyminę oświetlenia na energooszczędne oraz montaż paneli fotowoltaicznych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Gmina Bartniczka </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Bartniczka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52</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bCs/>
                <w:sz w:val="16"/>
                <w:szCs w:val="16"/>
              </w:rPr>
            </w:pPr>
            <w:r w:rsidRPr="00953A9C">
              <w:rPr>
                <w:rFonts w:ascii="Garamond" w:hAnsi="Garamond" w:cs="Arial"/>
                <w:sz w:val="16"/>
                <w:szCs w:val="16"/>
              </w:rPr>
              <w:t xml:space="preserve">Budowa ścieżki rowerowej Drużyny – </w:t>
            </w:r>
            <w:proofErr w:type="spellStart"/>
            <w:r w:rsidRPr="00953A9C">
              <w:rPr>
                <w:rFonts w:ascii="Garamond" w:hAnsi="Garamond" w:cs="Arial"/>
                <w:sz w:val="16"/>
                <w:szCs w:val="16"/>
              </w:rPr>
              <w:t>Grzybno</w:t>
            </w:r>
            <w:proofErr w:type="spellEnd"/>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953 000,00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53</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hAnsi="Garamond" w:cs="Arial"/>
                <w:sz w:val="16"/>
                <w:szCs w:val="16"/>
              </w:rPr>
              <w:t>Budowa ścieżki rowerowej Małki – Wymokłe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Bobrowo</w:t>
            </w:r>
          </w:p>
        </w:tc>
        <w:tc>
          <w:tcPr>
            <w:tcW w:w="782" w:type="pct"/>
            <w:shd w:val="clear" w:color="auto" w:fill="FFFFFF" w:themeFill="background1"/>
            <w:vAlign w:val="center"/>
          </w:tcPr>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Obniżony poziom infrastruktury technicznej</w:t>
            </w:r>
          </w:p>
          <w:p w:rsidR="000326FF" w:rsidRPr="001534A8" w:rsidRDefault="000326FF" w:rsidP="00324C7B">
            <w:pPr>
              <w:spacing w:before="40" w:after="40" w:line="240" w:lineRule="auto"/>
              <w:jc w:val="center"/>
              <w:rPr>
                <w:rFonts w:ascii="Garamond" w:eastAsia="Times New Roman" w:hAnsi="Garamond" w:cs="Arial"/>
                <w:color w:val="000000"/>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1534A8">
              <w:rPr>
                <w:rFonts w:ascii="Garamond" w:eastAsia="Times New Roman" w:hAnsi="Garamond" w:cs="Arial"/>
                <w:color w:val="000000"/>
                <w:sz w:val="16"/>
                <w:szCs w:val="16"/>
              </w:rPr>
              <w:t>Niewystarczająca ilość ścieżek rowerowych i chodników</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Bobrowo</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720 000,00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4e</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54</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Termomodernizacja Miejsko-Gminnej Biblioteki Publicznej w Jabłonowie Pomorskim</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1534A8" w:rsidRDefault="000326FF" w:rsidP="00324C7B">
            <w:pPr>
              <w:spacing w:before="40" w:after="40" w:line="240" w:lineRule="auto"/>
              <w:jc w:val="center"/>
              <w:rPr>
                <w:rFonts w:ascii="Garamond" w:eastAsia="Times New Roman" w:hAnsi="Garamond" w:cs="Arial"/>
                <w:color w:val="000000"/>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200 000,00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55</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Nadbudowa budynku administracyjnego Urzędu Gminy, kompleksowa modernizacja energetyczna budynku oraz przystosowanie budynku dla osób niepełnosprawnych</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782" w:type="pct"/>
            <w:shd w:val="clear" w:color="auto" w:fill="FFFFFF" w:themeFill="background1"/>
            <w:vAlign w:val="center"/>
          </w:tcPr>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rFonts w:ascii="Garamond" w:eastAsia="Times New Roman" w:hAnsi="Garamond" w:cs="Arial"/>
                <w:bCs/>
                <w:sz w:val="16"/>
                <w:szCs w:val="16"/>
              </w:rPr>
              <w:t>Obniżony poziom infrastruktury technicznej</w:t>
            </w:r>
          </w:p>
          <w:p w:rsidR="000326FF" w:rsidRPr="0052765E" w:rsidRDefault="000326FF" w:rsidP="00324C7B">
            <w:pPr>
              <w:spacing w:before="40" w:after="40" w:line="240" w:lineRule="auto"/>
              <w:jc w:val="center"/>
              <w:rPr>
                <w:rFonts w:ascii="Garamond" w:eastAsia="Times New Roman" w:hAnsi="Garamond" w:cs="Arial"/>
                <w:bCs/>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52765E">
              <w:rPr>
                <w:rFonts w:eastAsia="Times New Roman" w:cs="Arial"/>
                <w:bCs/>
                <w:sz w:val="16"/>
                <w:szCs w:val="16"/>
              </w:rPr>
              <w:t>Niska efektywność energetyczna budynków użyteczności publicznej i wielorodzinnych oraz niewielkie wykorzystania odnawialnych źródeł energii</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2017-2018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Gmina Świedziebnia</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1 500 000,00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EFRR</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4c</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56</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hAnsi="Garamond" w:cs="Arial"/>
                <w:sz w:val="16"/>
                <w:szCs w:val="16"/>
              </w:rPr>
            </w:pPr>
            <w:r w:rsidRPr="00953A9C">
              <w:rPr>
                <w:rFonts w:ascii="Garamond" w:eastAsia="Times New Roman" w:hAnsi="Garamond" w:cs="Arial"/>
                <w:sz w:val="16"/>
                <w:szCs w:val="16"/>
              </w:rPr>
              <w:t>Zdobycie przez nauczycieli Zespołu Szkół Specjalnych w Brodnicy dodatkowych kwalifikacji szczegółowych w zakresie pracy z uczniami z zaburzeniami ze spektrum autyzmu</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Zespół Szkół Specjalnych w Brodnicy</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324C7B">
            <w:pPr>
              <w:spacing w:before="40" w:after="40" w:line="240" w:lineRule="auto"/>
              <w:jc w:val="center"/>
              <w:rPr>
                <w:rFonts w:ascii="Garamond" w:eastAsia="Times New Roman" w:hAnsi="Garamond" w:cs="Arial"/>
                <w:bCs/>
                <w:sz w:val="16"/>
                <w:szCs w:val="16"/>
              </w:rPr>
            </w:pPr>
            <w:r w:rsidRPr="00953A9C">
              <w:rPr>
                <w:sz w:val="16"/>
                <w:szCs w:val="16"/>
              </w:rPr>
              <w:t>Niewystarczająca oferta zajęć pozalekcyjnych dla uczniów oraz kursów i szkoleń podnoszących kwalifikacje nauczycieli w zakresie 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57</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Pomoc psychologiczno-pedagogiczna dzieciom z zaburzeniami rozwojowymi, stwierdzoną niepełnosprawnością, zagrożonym wczesnym wykluczeniem edukacyjnym oraz promowanie wartości edukacji przez całe życie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 xml:space="preserve">Poradnia </w:t>
            </w:r>
            <w:proofErr w:type="spellStart"/>
            <w:r>
              <w:rPr>
                <w:rFonts w:ascii="Garamond" w:eastAsia="Times New Roman" w:hAnsi="Garamond" w:cs="Arial"/>
                <w:bCs/>
                <w:sz w:val="16"/>
                <w:szCs w:val="16"/>
              </w:rPr>
              <w:t>Psychologiczno</w:t>
            </w:r>
            <w:proofErr w:type="spellEnd"/>
            <w:r>
              <w:rPr>
                <w:rFonts w:ascii="Garamond" w:eastAsia="Times New Roman" w:hAnsi="Garamond" w:cs="Arial"/>
                <w:bCs/>
                <w:sz w:val="16"/>
                <w:szCs w:val="16"/>
              </w:rPr>
              <w:t xml:space="preserve"> –Pedagogiczna w Brodnicy/Powiat Brodnicki </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Niepełne dopasowanie oferty edukacyjnej do potrzeb rynku pracy</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 xml:space="preserve">Niewystarczająca oferta zajęć pozalekcyjnych dla uczniów oraz kursów i szkoleń podnoszących kwalifikacje nauczycieli w zakresie </w:t>
            </w:r>
            <w:r w:rsidRPr="00953A9C">
              <w:rPr>
                <w:b w:val="0"/>
                <w:color w:val="auto"/>
                <w:sz w:val="16"/>
                <w:szCs w:val="16"/>
              </w:rPr>
              <w:lastRenderedPageBreak/>
              <w:t>rozwijania kompetencji kluczowych</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2016-2019</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Powiat Brodnicki</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1 300 000,00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10i</w:t>
            </w:r>
          </w:p>
        </w:tc>
      </w:tr>
      <w:tr w:rsidR="000326FF" w:rsidRPr="00B31555" w:rsidTr="00324C7B">
        <w:tc>
          <w:tcPr>
            <w:tcW w:w="18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lastRenderedPageBreak/>
              <w:t>58</w:t>
            </w:r>
          </w:p>
        </w:tc>
        <w:tc>
          <w:tcPr>
            <w:tcW w:w="1146" w:type="pct"/>
            <w:shd w:val="clear" w:color="auto" w:fill="FFFFFF" w:themeFill="background1"/>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sz w:val="16"/>
                <w:szCs w:val="16"/>
              </w:rPr>
              <w:t>Aktywizacja osób wykluczonych i zagrożonych wykluczeniem społecznym w celu podjęcia zatrudnienia i uczestnictwa w życiu społeczności lokalnej miasta i gminy Jabłonowo Pomorskie</w:t>
            </w:r>
          </w:p>
        </w:tc>
        <w:tc>
          <w:tcPr>
            <w:tcW w:w="698"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782" w:type="pct"/>
            <w:shd w:val="clear" w:color="auto" w:fill="FFFFFF" w:themeFill="background1"/>
            <w:vAlign w:val="center"/>
          </w:tcPr>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Wzmocnienie integracji społecznej i dostosowanie systemu opieki zdrowotnej do sytuacji demograficznej</w:t>
            </w:r>
          </w:p>
          <w:p w:rsidR="000326FF" w:rsidRPr="00953A9C" w:rsidRDefault="000326FF" w:rsidP="006D02C5">
            <w:pPr>
              <w:pStyle w:val="S1"/>
              <w:numPr>
                <w:ilvl w:val="0"/>
                <w:numId w:val="0"/>
              </w:numPr>
              <w:spacing w:before="40" w:after="40" w:line="240" w:lineRule="auto"/>
              <w:rPr>
                <w:b w:val="0"/>
                <w:color w:val="auto"/>
                <w:sz w:val="16"/>
                <w:szCs w:val="16"/>
              </w:rPr>
            </w:pPr>
          </w:p>
          <w:p w:rsidR="000326FF" w:rsidRPr="00953A9C" w:rsidRDefault="000326FF" w:rsidP="006D02C5">
            <w:pPr>
              <w:pStyle w:val="S1"/>
              <w:numPr>
                <w:ilvl w:val="0"/>
                <w:numId w:val="0"/>
              </w:numPr>
              <w:spacing w:before="40" w:after="40" w:line="240" w:lineRule="auto"/>
              <w:rPr>
                <w:b w:val="0"/>
                <w:color w:val="auto"/>
                <w:sz w:val="16"/>
                <w:szCs w:val="16"/>
              </w:rPr>
            </w:pPr>
            <w:r w:rsidRPr="00953A9C">
              <w:rPr>
                <w:b w:val="0"/>
                <w:color w:val="auto"/>
                <w:sz w:val="16"/>
                <w:szCs w:val="16"/>
              </w:rPr>
              <w:t>Przeciwdziałanie wykluczeniu społecznemu i ubóstwu</w:t>
            </w:r>
          </w:p>
        </w:tc>
        <w:tc>
          <w:tcPr>
            <w:tcW w:w="386"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2016-2018</w:t>
            </w:r>
          </w:p>
        </w:tc>
        <w:tc>
          <w:tcPr>
            <w:tcW w:w="450" w:type="pct"/>
            <w:shd w:val="clear" w:color="auto" w:fill="FFFFFF" w:themeFill="background1"/>
            <w:vAlign w:val="center"/>
          </w:tcPr>
          <w:p w:rsidR="000326FF" w:rsidRDefault="000326FF" w:rsidP="00324C7B">
            <w:pPr>
              <w:spacing w:before="40" w:after="40" w:line="240" w:lineRule="auto"/>
              <w:rPr>
                <w:rFonts w:ascii="Garamond" w:eastAsia="Times New Roman" w:hAnsi="Garamond" w:cs="Arial"/>
                <w:bCs/>
                <w:sz w:val="16"/>
                <w:szCs w:val="16"/>
              </w:rPr>
            </w:pPr>
            <w:r>
              <w:rPr>
                <w:rFonts w:ascii="Garamond" w:eastAsia="Times New Roman" w:hAnsi="Garamond" w:cs="Arial"/>
                <w:bCs/>
                <w:sz w:val="16"/>
                <w:szCs w:val="16"/>
              </w:rPr>
              <w:t>Miasto i Gmina Jabłonowo Pomorskie</w:t>
            </w:r>
          </w:p>
        </w:tc>
        <w:tc>
          <w:tcPr>
            <w:tcW w:w="579" w:type="pct"/>
            <w:shd w:val="clear" w:color="auto" w:fill="FFFFFF" w:themeFill="background1"/>
            <w:vAlign w:val="center"/>
          </w:tcPr>
          <w:p w:rsidR="000326FF" w:rsidRDefault="000326FF" w:rsidP="00324C7B">
            <w:pPr>
              <w:spacing w:before="40" w:after="40" w:line="240" w:lineRule="auto"/>
              <w:jc w:val="right"/>
              <w:rPr>
                <w:rFonts w:ascii="Garamond" w:eastAsia="Times New Roman" w:hAnsi="Garamond" w:cs="Arial"/>
                <w:bCs/>
                <w:sz w:val="16"/>
                <w:szCs w:val="16"/>
              </w:rPr>
            </w:pPr>
            <w:r>
              <w:rPr>
                <w:rFonts w:ascii="Garamond" w:eastAsia="Times New Roman" w:hAnsi="Garamond" w:cs="Arial"/>
                <w:bCs/>
                <w:sz w:val="16"/>
                <w:szCs w:val="16"/>
              </w:rPr>
              <w:t>100 000,00</w:t>
            </w:r>
          </w:p>
        </w:tc>
        <w:tc>
          <w:tcPr>
            <w:tcW w:w="514" w:type="pct"/>
            <w:shd w:val="clear" w:color="auto" w:fill="FFFFFF" w:themeFill="background1"/>
            <w:vAlign w:val="center"/>
          </w:tcPr>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EFS</w:t>
            </w:r>
          </w:p>
          <w:p w:rsidR="000326FF" w:rsidRDefault="000326FF" w:rsidP="000326FF">
            <w:pPr>
              <w:pStyle w:val="Akapitzlist"/>
              <w:numPr>
                <w:ilvl w:val="0"/>
                <w:numId w:val="74"/>
              </w:numPr>
              <w:spacing w:before="40" w:after="40" w:line="240" w:lineRule="auto"/>
              <w:ind w:left="170" w:hanging="170"/>
              <w:rPr>
                <w:rFonts w:ascii="Garamond" w:eastAsia="Times New Roman" w:hAnsi="Garamond" w:cs="Arial"/>
                <w:sz w:val="16"/>
                <w:szCs w:val="16"/>
              </w:rPr>
            </w:pPr>
            <w:r>
              <w:rPr>
                <w:rFonts w:ascii="Garamond" w:eastAsia="Times New Roman" w:hAnsi="Garamond" w:cs="Arial"/>
                <w:sz w:val="16"/>
                <w:szCs w:val="16"/>
              </w:rPr>
              <w:t>Środki własne</w:t>
            </w:r>
          </w:p>
        </w:tc>
        <w:tc>
          <w:tcPr>
            <w:tcW w:w="257" w:type="pct"/>
            <w:shd w:val="clear" w:color="auto" w:fill="FFFFFF" w:themeFill="background1"/>
            <w:vAlign w:val="center"/>
          </w:tcPr>
          <w:p w:rsidR="000326FF" w:rsidRDefault="000326FF" w:rsidP="00324C7B">
            <w:pPr>
              <w:spacing w:before="40" w:after="40" w:line="240" w:lineRule="auto"/>
              <w:jc w:val="center"/>
              <w:rPr>
                <w:rFonts w:ascii="Garamond" w:eastAsia="Times New Roman" w:hAnsi="Garamond" w:cs="Arial"/>
                <w:bCs/>
                <w:sz w:val="16"/>
                <w:szCs w:val="16"/>
              </w:rPr>
            </w:pPr>
            <w:r>
              <w:rPr>
                <w:rFonts w:ascii="Garamond" w:eastAsia="Times New Roman" w:hAnsi="Garamond" w:cs="Arial"/>
                <w:bCs/>
                <w:sz w:val="16"/>
                <w:szCs w:val="16"/>
              </w:rPr>
              <w:t>9i</w:t>
            </w:r>
          </w:p>
        </w:tc>
      </w:tr>
    </w:tbl>
    <w:p w:rsidR="000326FF" w:rsidRPr="00B31555" w:rsidRDefault="000326FF" w:rsidP="000326FF">
      <w:pPr>
        <w:pStyle w:val="T"/>
        <w:rPr>
          <w:b w:val="0"/>
          <w:color w:val="auto"/>
        </w:rPr>
        <w:sectPr w:rsidR="000326FF" w:rsidRPr="00B31555" w:rsidSect="00324C7B">
          <w:pgSz w:w="16838" w:h="11906" w:orient="landscape"/>
          <w:pgMar w:top="1417" w:right="1417" w:bottom="1417" w:left="1417" w:header="708" w:footer="708" w:gutter="0"/>
          <w:cols w:space="708"/>
          <w:docGrid w:linePitch="360"/>
        </w:sectPr>
      </w:pPr>
    </w:p>
    <w:p w:rsidR="000326FF" w:rsidRDefault="000326FF" w:rsidP="000326FF">
      <w:pPr>
        <w:pStyle w:val="T"/>
      </w:pPr>
    </w:p>
    <w:p w:rsidR="000326FF" w:rsidRPr="000C053A" w:rsidRDefault="000326FF" w:rsidP="000326FF">
      <w:pPr>
        <w:pStyle w:val="T"/>
        <w:rPr>
          <w:b w:val="0"/>
          <w:color w:val="auto"/>
        </w:rPr>
      </w:pPr>
      <w:r w:rsidRPr="00B31555">
        <w:rPr>
          <w:b w:val="0"/>
          <w:color w:val="auto"/>
        </w:rPr>
        <w:t>Tabela 50. Lista projektów komplementarnych</w:t>
      </w:r>
      <w:r>
        <w:rPr>
          <w:b w:val="0"/>
          <w:color w:val="auto"/>
        </w:rPr>
        <w:t xml:space="preserve"> </w:t>
      </w:r>
      <w:r w:rsidRPr="000C053A">
        <w:rPr>
          <w:b w:val="0"/>
          <w:color w:val="auto"/>
        </w:rPr>
        <w:t>- aktualizacja St</w:t>
      </w:r>
      <w:r w:rsidR="005777F8">
        <w:rPr>
          <w:b w:val="0"/>
          <w:color w:val="auto"/>
        </w:rPr>
        <w:t xml:space="preserve">rategii </w:t>
      </w:r>
      <w:r w:rsidR="00576902">
        <w:rPr>
          <w:b w:val="0"/>
          <w:color w:val="auto"/>
        </w:rPr>
        <w:t>ORSG w dniu 12 lipca</w:t>
      </w:r>
      <w:r w:rsidR="00D105D3">
        <w:rPr>
          <w:b w:val="0"/>
          <w:color w:val="auto"/>
        </w:rPr>
        <w:t xml:space="preserve"> </w:t>
      </w:r>
      <w:r w:rsidR="0031428D">
        <w:rPr>
          <w:b w:val="0"/>
          <w:color w:val="auto"/>
        </w:rPr>
        <w:t>201</w:t>
      </w:r>
      <w:r w:rsidR="005777F8">
        <w:rPr>
          <w:b w:val="0"/>
          <w:color w:val="auto"/>
        </w:rPr>
        <w:t>8r. uchwałą nr XX</w:t>
      </w:r>
      <w:r w:rsidR="00D105D3">
        <w:rPr>
          <w:b w:val="0"/>
          <w:color w:val="auto"/>
        </w:rPr>
        <w:t>I</w:t>
      </w:r>
      <w:r w:rsidR="000F42D0">
        <w:rPr>
          <w:b w:val="0"/>
          <w:color w:val="auto"/>
        </w:rPr>
        <w:t>I</w:t>
      </w:r>
      <w:r w:rsidR="00576902">
        <w:rPr>
          <w:b w:val="0"/>
          <w:color w:val="auto"/>
        </w:rPr>
        <w:t>I/34</w:t>
      </w:r>
      <w:r w:rsidR="005777F8">
        <w:rPr>
          <w:b w:val="0"/>
          <w:color w:val="auto"/>
        </w:rPr>
        <w:t>/2018</w:t>
      </w:r>
      <w:r w:rsidRPr="000C053A">
        <w:rPr>
          <w:b w:val="0"/>
          <w:color w:val="auto"/>
        </w:rPr>
        <w:t xml:space="preserve"> Komitetu Sterującego ORSG Powiatu Brodnickiego.</w:t>
      </w:r>
    </w:p>
    <w:p w:rsidR="000326FF" w:rsidRPr="00B31555" w:rsidRDefault="000326FF" w:rsidP="000326FF">
      <w:pPr>
        <w:pStyle w:val="T"/>
        <w:rPr>
          <w:b w:val="0"/>
          <w:color w:val="auto"/>
        </w:rPr>
      </w:pPr>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firstRow="1" w:lastRow="0" w:firstColumn="1" w:lastColumn="0" w:noHBand="0" w:noVBand="1"/>
      </w:tblPr>
      <w:tblGrid>
        <w:gridCol w:w="495"/>
        <w:gridCol w:w="2127"/>
        <w:gridCol w:w="8362"/>
        <w:gridCol w:w="1703"/>
        <w:gridCol w:w="1457"/>
      </w:tblGrid>
      <w:tr w:rsidR="000326FF" w:rsidRPr="00B31555" w:rsidTr="00324C7B">
        <w:trPr>
          <w:trHeight w:val="20"/>
        </w:trPr>
        <w:tc>
          <w:tcPr>
            <w:tcW w:w="175" w:type="pct"/>
            <w:tcBorders>
              <w:righ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Lp.</w:t>
            </w:r>
          </w:p>
        </w:tc>
        <w:tc>
          <w:tcPr>
            <w:tcW w:w="752" w:type="pct"/>
            <w:tcBorders>
              <w:left w:val="single" w:sz="4" w:space="0" w:color="FFFFFF" w:themeColor="background1"/>
              <w:right w:val="single" w:sz="4" w:space="0" w:color="FFFFFF" w:themeColor="background1"/>
            </w:tcBorders>
            <w:shd w:val="clear" w:color="auto" w:fill="824BB0"/>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Beneficjent</w:t>
            </w:r>
          </w:p>
        </w:tc>
        <w:tc>
          <w:tcPr>
            <w:tcW w:w="2956"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Nazwa projektu</w:t>
            </w:r>
          </w:p>
        </w:tc>
        <w:tc>
          <w:tcPr>
            <w:tcW w:w="602" w:type="pct"/>
            <w:tcBorders>
              <w:left w:val="single" w:sz="4" w:space="0" w:color="FFFFFF" w:themeColor="background1"/>
              <w:right w:val="single" w:sz="4" w:space="0" w:color="FFFFFF" w:themeColor="background1"/>
            </w:tcBorders>
            <w:shd w:val="clear" w:color="auto" w:fill="824BB0"/>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Okres realizacji</w:t>
            </w:r>
          </w:p>
        </w:tc>
        <w:tc>
          <w:tcPr>
            <w:tcW w:w="515" w:type="pct"/>
            <w:tcBorders>
              <w:left w:val="single" w:sz="4" w:space="0" w:color="FFFFFF" w:themeColor="background1"/>
            </w:tcBorders>
            <w:shd w:val="clear" w:color="auto" w:fill="824BB0"/>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Koszt</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1829C, 1834C i 1827C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18 500 000,00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dróg powiatowych nr 1815C i 1816C</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15 600 000,00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Modernizacja drogi powiatowej na odcinku Trepki Samin</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1 550 000,00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Wielki Głęboczek-Gutowo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3 400 000,00 zł</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5</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1812C (Pokrzydowo-Bachotek)</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4 400 000,00</w:t>
            </w:r>
          </w:p>
        </w:tc>
      </w:tr>
      <w:tr w:rsidR="000326FF" w:rsidRPr="00B31555" w:rsidTr="00324C7B">
        <w:trPr>
          <w:trHeight w:val="20"/>
        </w:trPr>
        <w:tc>
          <w:tcPr>
            <w:tcW w:w="175" w:type="pct"/>
            <w:shd w:val="clear" w:color="auto" w:fill="auto"/>
            <w:noWrap/>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6</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Przebudowa drogi powiatowej nr 1825C (Sosno-Zbiczno)</w:t>
            </w:r>
          </w:p>
        </w:tc>
        <w:tc>
          <w:tcPr>
            <w:tcW w:w="60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3 500 000,00</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7</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Powiat brodnicki</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Rozbudowa </w:t>
            </w:r>
            <w:proofErr w:type="spellStart"/>
            <w:r w:rsidRPr="00B31555">
              <w:rPr>
                <w:rFonts w:ascii="Garamond" w:hAnsi="Garamond"/>
                <w:sz w:val="16"/>
                <w:szCs w:val="16"/>
              </w:rPr>
              <w:t>geoportalu</w:t>
            </w:r>
            <w:proofErr w:type="spellEnd"/>
            <w:r w:rsidRPr="00B31555">
              <w:rPr>
                <w:rFonts w:ascii="Garamond" w:hAnsi="Garamond"/>
                <w:sz w:val="16"/>
                <w:szCs w:val="16"/>
              </w:rPr>
              <w:t xml:space="preserve"> powiatowego</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200 000,00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8</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Odnawialne Źródła Energii  w szpitalu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III kw. 2016-IV kw. 2017</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7 025 000,00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9</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Szkół Zawodowych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Nowoczesne oświetlenie zewnętrzne – energia odnawialna</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2015-2016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10</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CA168D">
              <w:rPr>
                <w:rFonts w:ascii="Garamond" w:hAnsi="Garamond"/>
                <w:sz w:val="16"/>
                <w:szCs w:val="16"/>
              </w:rPr>
              <w:t>Powiat Brodnicki/Dom Dziecka</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B</w:t>
            </w:r>
            <w:r>
              <w:rPr>
                <w:rFonts w:ascii="Garamond" w:hAnsi="Garamond"/>
                <w:sz w:val="16"/>
                <w:szCs w:val="16"/>
              </w:rPr>
              <w:t>udowa dwóch budynków na potrzeby 14-osobowych placówek opiekuńczo-wychowawczych wraz z niezbędną infrastrukturą techniczną.</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Pr>
                <w:rFonts w:ascii="Garamond" w:hAnsi="Garamond"/>
                <w:sz w:val="16"/>
                <w:szCs w:val="16"/>
              </w:rPr>
              <w:t>2016- 2018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Pr>
                <w:rFonts w:ascii="Garamond" w:hAnsi="Garamond"/>
                <w:sz w:val="16"/>
                <w:szCs w:val="16"/>
              </w:rPr>
              <w:t>3 323 669</w:t>
            </w:r>
            <w:r w:rsidRPr="00B31555">
              <w:rPr>
                <w:rFonts w:ascii="Garamond" w:hAnsi="Garamond"/>
                <w:sz w:val="16"/>
                <w:szCs w:val="16"/>
              </w:rPr>
              <w:t>,0</w:t>
            </w:r>
            <w:r>
              <w:rPr>
                <w:rFonts w:ascii="Garamond" w:hAnsi="Garamond"/>
                <w:sz w:val="16"/>
                <w:szCs w:val="16"/>
              </w:rPr>
              <w:t>1</w:t>
            </w:r>
            <w:r w:rsidRPr="00B31555">
              <w:rPr>
                <w:rFonts w:ascii="Garamond" w:hAnsi="Garamond"/>
                <w:sz w:val="16"/>
                <w:szCs w:val="16"/>
              </w:rPr>
              <w:t xml:space="preserve">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11</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Doposażenie POZ oraz utworzenie nowych poradni specjalistycznych przy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IV kw. 2016-2018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1 500 000,00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12</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Utworzenie i wyposażenie hospicjum stacjonarnego przy Zakładzie </w:t>
            </w:r>
            <w:proofErr w:type="spellStart"/>
            <w:r w:rsidRPr="00B31555">
              <w:rPr>
                <w:rFonts w:ascii="Garamond" w:hAnsi="Garamond"/>
                <w:sz w:val="16"/>
                <w:szCs w:val="16"/>
              </w:rPr>
              <w:t>Pielęgnacyjno</w:t>
            </w:r>
            <w:proofErr w:type="spellEnd"/>
            <w:r w:rsidRPr="00B31555">
              <w:rPr>
                <w:rFonts w:ascii="Garamond" w:hAnsi="Garamond"/>
                <w:sz w:val="16"/>
                <w:szCs w:val="16"/>
              </w:rPr>
              <w:t xml:space="preserve"> - Opiekuńczym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2017-2018</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13</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Zakup laparoskopu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350 000,00 zł</w:t>
            </w:r>
          </w:p>
        </w:tc>
      </w:tr>
      <w:tr w:rsidR="000326FF" w:rsidRPr="00B31555" w:rsidTr="00324C7B">
        <w:trPr>
          <w:trHeight w:val="20"/>
        </w:trPr>
        <w:tc>
          <w:tcPr>
            <w:tcW w:w="175" w:type="pct"/>
            <w:shd w:val="clear" w:color="auto" w:fill="auto"/>
            <w:noWrap/>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14</w:t>
            </w:r>
          </w:p>
        </w:tc>
        <w:tc>
          <w:tcPr>
            <w:tcW w:w="752" w:type="pct"/>
            <w:shd w:val="clear" w:color="auto" w:fill="auto"/>
            <w:vAlign w:val="center"/>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Zespół Opieki Zdrowotnej w Brodnicy</w:t>
            </w:r>
          </w:p>
        </w:tc>
        <w:tc>
          <w:tcPr>
            <w:tcW w:w="2956" w:type="pct"/>
            <w:shd w:val="clear" w:color="auto" w:fill="auto"/>
            <w:vAlign w:val="center"/>
            <w:hideMark/>
          </w:tcPr>
          <w:p w:rsidR="000326FF" w:rsidRPr="00B31555" w:rsidRDefault="000326FF" w:rsidP="00324C7B">
            <w:pPr>
              <w:spacing w:before="20" w:after="20"/>
              <w:rPr>
                <w:rFonts w:ascii="Garamond" w:hAnsi="Garamond"/>
                <w:sz w:val="16"/>
                <w:szCs w:val="16"/>
              </w:rPr>
            </w:pPr>
            <w:r w:rsidRPr="00B31555">
              <w:rPr>
                <w:rFonts w:ascii="Garamond" w:hAnsi="Garamond"/>
                <w:sz w:val="16"/>
                <w:szCs w:val="16"/>
              </w:rPr>
              <w:t xml:space="preserve">Zakup </w:t>
            </w:r>
            <w:proofErr w:type="spellStart"/>
            <w:r w:rsidRPr="00B31555">
              <w:rPr>
                <w:rFonts w:ascii="Garamond" w:hAnsi="Garamond"/>
                <w:sz w:val="16"/>
                <w:szCs w:val="16"/>
              </w:rPr>
              <w:t>mammogrfu</w:t>
            </w:r>
            <w:proofErr w:type="spellEnd"/>
            <w:r w:rsidRPr="00B31555">
              <w:rPr>
                <w:rFonts w:ascii="Garamond" w:hAnsi="Garamond"/>
                <w:sz w:val="16"/>
                <w:szCs w:val="16"/>
              </w:rPr>
              <w:t xml:space="preserve"> cyfrowego do Pracowni Mammograficznej w Zespole Opieki Zdrowotnej w Brodnicy</w:t>
            </w:r>
          </w:p>
        </w:tc>
        <w:tc>
          <w:tcPr>
            <w:tcW w:w="602" w:type="pct"/>
            <w:shd w:val="clear" w:color="auto" w:fill="auto"/>
            <w:vAlign w:val="center"/>
            <w:hideMark/>
          </w:tcPr>
          <w:p w:rsidR="000326FF" w:rsidRPr="00B31555" w:rsidRDefault="000326FF" w:rsidP="00324C7B">
            <w:pPr>
              <w:spacing w:before="20" w:after="20"/>
              <w:jc w:val="center"/>
              <w:rPr>
                <w:rFonts w:ascii="Garamond" w:hAnsi="Garamond"/>
                <w:sz w:val="16"/>
                <w:szCs w:val="16"/>
              </w:rPr>
            </w:pPr>
            <w:r w:rsidRPr="00B31555">
              <w:rPr>
                <w:rFonts w:ascii="Garamond" w:hAnsi="Garamond"/>
                <w:sz w:val="16"/>
                <w:szCs w:val="16"/>
              </w:rPr>
              <w:t>II kw. 2016-IV kw. 2016</w:t>
            </w:r>
          </w:p>
        </w:tc>
        <w:tc>
          <w:tcPr>
            <w:tcW w:w="515" w:type="pct"/>
            <w:shd w:val="clear" w:color="auto" w:fill="auto"/>
            <w:noWrap/>
            <w:vAlign w:val="center"/>
            <w:hideMark/>
          </w:tcPr>
          <w:p w:rsidR="000326FF" w:rsidRPr="00B31555" w:rsidRDefault="000326FF" w:rsidP="00324C7B">
            <w:pPr>
              <w:spacing w:before="20" w:after="20"/>
              <w:jc w:val="right"/>
              <w:rPr>
                <w:rFonts w:ascii="Garamond" w:hAnsi="Garamond"/>
                <w:sz w:val="16"/>
                <w:szCs w:val="16"/>
              </w:rPr>
            </w:pPr>
            <w:r w:rsidRPr="00B31555">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aparatu </w:t>
            </w:r>
            <w:proofErr w:type="spellStart"/>
            <w:r w:rsidRPr="001534A8">
              <w:rPr>
                <w:rFonts w:ascii="Garamond" w:hAnsi="Garamond"/>
                <w:sz w:val="16"/>
                <w:szCs w:val="16"/>
              </w:rPr>
              <w:t>rtg</w:t>
            </w:r>
            <w:proofErr w:type="spellEnd"/>
            <w:r w:rsidRPr="001534A8">
              <w:rPr>
                <w:rFonts w:ascii="Garamond" w:hAnsi="Garamond"/>
                <w:sz w:val="16"/>
                <w:szCs w:val="16"/>
              </w:rPr>
              <w:t xml:space="preserve"> z ramieniem C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Poprawa dostępności i jakości badań diagnostycznych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wyposażenia bloku operacyjnego i sprzętu do intensywnej terapii (</w:t>
            </w:r>
            <w:proofErr w:type="spellStart"/>
            <w:r w:rsidRPr="001534A8">
              <w:rPr>
                <w:rFonts w:ascii="Garamond" w:hAnsi="Garamond"/>
                <w:sz w:val="16"/>
                <w:szCs w:val="16"/>
              </w:rPr>
              <w:t>OAiIT</w:t>
            </w:r>
            <w:proofErr w:type="spellEnd"/>
            <w:r w:rsidRPr="001534A8">
              <w:rPr>
                <w:rFonts w:ascii="Garamond" w:hAnsi="Garamond"/>
                <w:sz w:val="16"/>
                <w:szCs w:val="16"/>
              </w:rPr>
              <w:t xml:space="preserve"> SOR)</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Opieki Zdrowotnej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centralnej </w:t>
            </w:r>
            <w:proofErr w:type="spellStart"/>
            <w:r w:rsidRPr="001534A8">
              <w:rPr>
                <w:rFonts w:ascii="Garamond" w:hAnsi="Garamond"/>
                <w:sz w:val="16"/>
                <w:szCs w:val="16"/>
              </w:rPr>
              <w:t>sterylizatorni</w:t>
            </w:r>
            <w:proofErr w:type="spellEnd"/>
            <w:r w:rsidRPr="001534A8">
              <w:rPr>
                <w:rFonts w:ascii="Garamond" w:hAnsi="Garamond"/>
                <w:sz w:val="16"/>
                <w:szCs w:val="16"/>
              </w:rPr>
              <w:t xml:space="preserve"> w ZOZ Brodnica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Zespół Opieki Zdrowotnej w </w:t>
            </w:r>
            <w:r w:rsidRPr="001534A8">
              <w:rPr>
                <w:rFonts w:ascii="Garamond" w:hAnsi="Garamond"/>
                <w:sz w:val="16"/>
                <w:szCs w:val="16"/>
              </w:rPr>
              <w:lastRenderedPageBreak/>
              <w:t>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Utworzenie wypożyczalni sprzętu medycznego w Zespole Opieki Zdrowotnej w Brodnicy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 kw. 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obiektu z przeznaczeniem na Bursę, Środowiskowy Dom Samopomocy, Świetlicę środowiskową, oraz pomieszczenia dla seniorów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Caritas Diecezji Toruńskiej / Brodnickie Centrum Caritas</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Świetlica – miejscem dla wszystkich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Fundacja Zielony Liść</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Basen – rozbudowa bursy szkolnej Jagódka – funkcje ośrodka rehabilitacyjnego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10.2015-VI.2017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przystani dla tramwaju wodnego wraz z infrastrukturą – jako nowe atrakcje regionu i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Wielobranżowa Spółdzielnia Socjalna „</w:t>
            </w:r>
            <w:proofErr w:type="spellStart"/>
            <w:r w:rsidRPr="001534A8">
              <w:rPr>
                <w:rFonts w:ascii="Garamond" w:hAnsi="Garamond"/>
                <w:sz w:val="16"/>
                <w:szCs w:val="16"/>
              </w:rPr>
              <w:t>Teodoryk</w:t>
            </w:r>
            <w:proofErr w:type="spellEnd"/>
            <w:r w:rsidRPr="001534A8">
              <w:rPr>
                <w:rFonts w:ascii="Garamond" w:hAnsi="Garamond"/>
                <w:sz w:val="16"/>
                <w:szCs w:val="16"/>
              </w:rPr>
              <w:t>”</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Wioska Mydlarska – nowa atrakcja turystyczna, nowe miejsca pracy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Bractwo Rycerskie Zakonu Brodnickiego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Życie, praca i wypoczynek historią malowane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"Wieża Pod Bocianem" Firma Turystyczno-Handlowa Henryk Kowalski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turysta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Aktywizacja zawodowa osób niepełnosprawnych oraz wykluczonych i zagrożonych wykluczeniem społecznym poprzez budowę obieralni warzyw wraz z wyposażeniem i środkami transportu</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2016-II kw.2017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Centrum Ekonomii Społecznej </w:t>
            </w:r>
            <w:proofErr w:type="spellStart"/>
            <w:r w:rsidRPr="001534A8">
              <w:rPr>
                <w:rFonts w:ascii="Garamond" w:hAnsi="Garamond"/>
                <w:sz w:val="16"/>
                <w:szCs w:val="16"/>
              </w:rPr>
              <w:t>Bonum</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kuchni centralnej wraz pomieszczeniami przyległymi, zakup nowych urządzeń kuchennych oraz wymiana taboru samochodowego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2016-IV kw.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Razem łatwiej osiągnąć cel” (Punkt Środowiskowy)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123 200,00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Żyj zdrowo i aktywnie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145 000,00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Energetyczna nowoczesność</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IV kwartał 2015-  I kwartał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Gospoda „ZACISZE”   w Gorczenicy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Gry</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kwartał 2015- III kwartał 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 </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Zawodowych w Brodnicy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Nowoczesne oświetlenie zewnętrzne – energia odnawialna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Powiat brodnicki</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Odnawialne Źródła Energii  w budynkach użyteczności publicznej Powiatu  Brodnickiego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2017r.-</w:t>
            </w:r>
            <w:r w:rsidRPr="001534A8">
              <w:t xml:space="preserve"> </w:t>
            </w:r>
            <w:r w:rsidRPr="001534A8">
              <w:rPr>
                <w:rFonts w:ascii="Garamond" w:hAnsi="Garamond"/>
                <w:sz w:val="16"/>
                <w:szCs w:val="16"/>
              </w:rPr>
              <w:t>IV kw. 2020 r.</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Regionalny Ośrodek Edukacji Ekologicznej w Przysieku sp. z 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bazy parkingowej Ośrodka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03-09.2016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Regionalny Ośrodek Edukacji Ekologicznej w Przysieku sp. z </w:t>
            </w:r>
            <w:r w:rsidRPr="001534A8">
              <w:rPr>
                <w:rFonts w:ascii="Garamond" w:hAnsi="Garamond"/>
                <w:sz w:val="16"/>
                <w:szCs w:val="16"/>
              </w:rPr>
              <w:lastRenderedPageBreak/>
              <w:t>o.o. – Ośrodek Edukacji Ekologicznej WILGA w Górznie</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przystani nad jeziorem przez Ośrodek Edukacji Ekologicznej WILGA w Górznie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01-11.2016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oświetlenia ulicznego oraz miejsc użyteczności publicznej, przy wykorzystaniu lamp zasilanych energią słoneczną i/lub wiatrową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Instalowanie paneli fotowoltaicznych na budynkach użyteczności publicznej i mieszkalnych</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Punktu Selektywnego Zbierania Odpadów Komunalnych w Bartniczce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Selektywnego Zbierania Odpadów Komunalnych (miejscowość Jastrzębie lub Komorowo)</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gminnej oczyszczalni ścieków w Bartniczce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świetlicy wiejskiej w miejscowości Bartniczka i jej wyposażenie</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dróg gminnych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boiska sportowego w miejscowości Radoszki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turystyczne i rekreacyjne części działki nr  84/1 – obręb Bartniczka</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Bartniczka</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kotłowni olejowej na biopaliwo (</w:t>
            </w:r>
            <w:proofErr w:type="spellStart"/>
            <w:r w:rsidRPr="001534A8">
              <w:rPr>
                <w:rFonts w:ascii="Garamond" w:hAnsi="Garamond"/>
                <w:sz w:val="16"/>
                <w:szCs w:val="16"/>
              </w:rPr>
              <w:t>pellet</w:t>
            </w:r>
            <w:proofErr w:type="spellEnd"/>
            <w:r w:rsidRPr="001534A8">
              <w:rPr>
                <w:rFonts w:ascii="Garamond" w:hAnsi="Garamond"/>
                <w:sz w:val="16"/>
                <w:szCs w:val="16"/>
              </w:rPr>
              <w:t xml:space="preserve">) w Szkole Podstawowej w Radoszkach     </w:t>
            </w:r>
          </w:p>
        </w:tc>
        <w:tc>
          <w:tcPr>
            <w:tcW w:w="602" w:type="pct"/>
            <w:shd w:val="clear" w:color="auto" w:fill="auto"/>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080462C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Chojno - Drużyny nr 080440C oraz 080438C etap III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08042C do drogi wojewódzkiej 548 w </w:t>
            </w:r>
            <w:proofErr w:type="spellStart"/>
            <w:r w:rsidRPr="001534A8">
              <w:rPr>
                <w:rFonts w:ascii="Garamond" w:hAnsi="Garamond"/>
                <w:sz w:val="16"/>
                <w:szCs w:val="16"/>
              </w:rPr>
              <w:t>Garbówcu</w:t>
            </w:r>
            <w:proofErr w:type="spellEnd"/>
            <w:r w:rsidRPr="001534A8">
              <w:rPr>
                <w:rFonts w:ascii="Garamond" w:hAnsi="Garamond"/>
                <w:sz w:val="16"/>
                <w:szCs w:val="16"/>
              </w:rPr>
              <w:t xml:space="preserve"> do drogi powiatowej w Kawkach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Czekanowie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dróg gminnych osiedlowych z kostki brukowej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724 000,00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Bobrowie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osiedlowych z kostki brukowej w Słoszewach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Kruszyny Szlacheckie - Anielewo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080416C w miejscowości Wichulec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drogi gminnej nr 080461C Drużyny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nr 080432C Kawki - Malki - Wymokłe na odcinku od miejscowości Kawki do drogi krajowej nr 15</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OSP </w:t>
            </w:r>
            <w:proofErr w:type="spellStart"/>
            <w:r w:rsidRPr="001534A8">
              <w:rPr>
                <w:rFonts w:ascii="Garamond" w:hAnsi="Garamond"/>
                <w:sz w:val="16"/>
                <w:szCs w:val="16"/>
              </w:rPr>
              <w:t>Nieżywięć</w:t>
            </w:r>
            <w:proofErr w:type="spellEnd"/>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Zakup pojazdu ciężkiego ratowniczo-gaśniczego dla OSP </w:t>
            </w:r>
            <w:proofErr w:type="spellStart"/>
            <w:r w:rsidRPr="001534A8">
              <w:rPr>
                <w:rFonts w:ascii="Garamond" w:hAnsi="Garamond"/>
                <w:sz w:val="16"/>
                <w:szCs w:val="16"/>
              </w:rPr>
              <w:t>Nieżywięć</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w miejscowości Wądzyn</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Termomodernizacja budynku świetlicy wiejskiej w miejscowości Kruszyny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Grabówiec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Uzbrojenie terenów inwestycyjnych w miejscowości Czekanowo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stadionu sportowego w miejscowości Bobrowo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Kruszynach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Drużynach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miejsca widokowego nad jeziorem </w:t>
            </w:r>
            <w:proofErr w:type="spellStart"/>
            <w:r w:rsidRPr="001534A8">
              <w:rPr>
                <w:rFonts w:ascii="Garamond" w:hAnsi="Garamond"/>
                <w:sz w:val="16"/>
                <w:szCs w:val="16"/>
              </w:rPr>
              <w:t>Wądzyńskim</w:t>
            </w:r>
            <w:proofErr w:type="spellEnd"/>
            <w:r w:rsidRPr="001534A8">
              <w:rPr>
                <w:rFonts w:ascii="Garamond" w:hAnsi="Garamond"/>
                <w:sz w:val="16"/>
                <w:szCs w:val="16"/>
              </w:rPr>
              <w:t xml:space="preserve"> i jeziorem Chojno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 trawiastych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kolektora ściekowego Dąbrówka Kruszyny etap I </w:t>
            </w:r>
            <w:proofErr w:type="spellStart"/>
            <w:r w:rsidRPr="001534A8">
              <w:rPr>
                <w:rFonts w:ascii="Garamond" w:hAnsi="Garamond"/>
                <w:sz w:val="16"/>
                <w:szCs w:val="16"/>
              </w:rPr>
              <w:t>i</w:t>
            </w:r>
            <w:proofErr w:type="spellEnd"/>
            <w:r w:rsidRPr="001534A8">
              <w:rPr>
                <w:rFonts w:ascii="Garamond" w:hAnsi="Garamond"/>
                <w:sz w:val="16"/>
                <w:szCs w:val="16"/>
              </w:rPr>
              <w:t xml:space="preserve"> II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wodno-kanalizacyjnej w miejscowości Małki (działki)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sieci wodno-kanalizacyjnej w miejscowości Bobrowo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budynku świetlicy wiejskiej w miejscowości Grabówiec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budynku świetlicy wiejskiej w miejscowości Brudzawy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Małkach</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kotłowni olejowej na </w:t>
            </w:r>
            <w:proofErr w:type="spellStart"/>
            <w:r w:rsidRPr="001534A8">
              <w:rPr>
                <w:rFonts w:ascii="Garamond" w:hAnsi="Garamond"/>
                <w:sz w:val="16"/>
                <w:szCs w:val="16"/>
              </w:rPr>
              <w:t>ekogroszek</w:t>
            </w:r>
            <w:proofErr w:type="spellEnd"/>
            <w:r w:rsidRPr="001534A8">
              <w:rPr>
                <w:rFonts w:ascii="Garamond" w:hAnsi="Garamond"/>
                <w:sz w:val="16"/>
                <w:szCs w:val="16"/>
              </w:rPr>
              <w:t xml:space="preserve"> i biomasę w Szkole Podstawowej w </w:t>
            </w:r>
            <w:proofErr w:type="spellStart"/>
            <w:r w:rsidRPr="001534A8">
              <w:rPr>
                <w:rFonts w:ascii="Garamond" w:hAnsi="Garamond"/>
                <w:sz w:val="16"/>
                <w:szCs w:val="16"/>
              </w:rPr>
              <w:t>Nieżywięciu</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Montaż paneli fotowoltaicznych na budynkach użyteczności publicznej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OSP Zgniłobłoty</w:t>
            </w:r>
          </w:p>
        </w:tc>
        <w:tc>
          <w:tcPr>
            <w:tcW w:w="2956" w:type="pct"/>
            <w:shd w:val="clear" w:color="auto" w:fill="auto"/>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Zakup pojazdu ratowniczo-gaśniczego dla OSP Zgniłobłoty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stacji przeładunkowej odpadów komunalnych w Brodnicy, na składowisku miejskim przy ul. Ustronie 20c</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 kw. 2015-IV kw. 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Miejskie Przedsiębiorstwo Wodociągów i Kanalizacji Sp. Z o. o.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i modernizacja Miejskiej Oczyszczalni Ścieków w Brodnicy – IV etap</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Kompetentni w pracy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01.09.2015-28.02.2017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Doposażenie bazy dydaktycznej i naukowej szkół i placówek oświatowych w Brodnicy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2 481 000,00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Selektywnego Zbierania Odpadów Komunalnych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10.2015-11.2015</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875 000, 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obwodnicy miasta Brodnicy – II i III etap trasy przemysłowej na odcinku od ronda Warszawskiego do ulicy Lidzbarskiej</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Inkubatora Przedsiębiorczości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Brodnickiego Parku Przemysłowego „Ustronie” – część zachodnia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3 108 661,87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Rozbudowa sieci ciepłowniczej na terenie Miasta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Aktywna integracja w środowisku lokalnym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Składowiska Odpadów innych niż Niebezpieczne i Obojętne zlokalizowanego przy ul. Ustronie 20C w Brodnicy (kwatera nr 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półrocze 2015-2016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systemu kogeneracyjnego w ciepłowni o łącznej mocy 7 MW</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Przedsiębiorstwo Energetyki Cieplnej Sp. z o. 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sieci z tradycyjnej na preizolowaną na terenie Miasta Brodnica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Realizacja programu komputeryzacji szkół „Cyfrowa szkoła”</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1 184 000,00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Miasta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i modernizacja stadionu miejskiego OSIR w Brodnicy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04.2015-06.2016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Bobrowo, Gmina Miasta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spójnego ciągu komunikacyjnego: Brodnica (ul. Tatrzańska, ul. Rataja) – Gm. Brodnica (Kruszynki) – Gm. Bobrowo (Kruszyny Szlacheckie, Anielewo) – Gm. Zbiczno (</w:t>
            </w:r>
            <w:proofErr w:type="spellStart"/>
            <w:r w:rsidRPr="001534A8">
              <w:rPr>
                <w:rFonts w:ascii="Garamond" w:hAnsi="Garamond"/>
                <w:sz w:val="16"/>
                <w:szCs w:val="16"/>
              </w:rPr>
              <w:t>Foluszek</w:t>
            </w:r>
            <w:proofErr w:type="spellEnd"/>
            <w:r w:rsidRPr="001534A8">
              <w:rPr>
                <w:rFonts w:ascii="Garamond" w:hAnsi="Garamond"/>
                <w:sz w:val="16"/>
                <w:szCs w:val="16"/>
              </w:rPr>
              <w:t>,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01.2015-04.2018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Gminnego Ośrodka Kulturalno- Bibliotecznego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Brodnica/Gminny Ośrodek Pomocy Społecznej w Brodnicy</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świetlicy środowiskowej w Gminie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2015-31.12.2017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obiektów sportowych do uprawiania lekkoatletyki w szkołach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09.2016-09.2018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na terenie Gminy Brodnica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bazy sportowej w Gminie Brodnica – budowa Sali sportowej przy Szkole Podstawowej w Gortatowie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drogi Cielęta Szczuka o długości 4,1 km</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dróg osiedlowych wraz z kanalizacją deszczową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9 600 000,00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i prowadzenie Środowiskowego Domu Dziennego Pobytu „Spokojna Przystań” dla mieszkańców Gminy Brodnica we wsi Kominy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2016-31.12.2020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2 700 000,00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Odtworzenie ujęcia wody w </w:t>
            </w:r>
            <w:proofErr w:type="spellStart"/>
            <w:r w:rsidRPr="001534A8">
              <w:rPr>
                <w:rFonts w:ascii="Garamond" w:hAnsi="Garamond"/>
                <w:sz w:val="16"/>
                <w:szCs w:val="16"/>
              </w:rPr>
              <w:t>Karbowie</w:t>
            </w:r>
            <w:proofErr w:type="spellEnd"/>
            <w:r w:rsidRPr="001534A8">
              <w:rPr>
                <w:rFonts w:ascii="Garamond" w:hAnsi="Garamond"/>
                <w:sz w:val="16"/>
                <w:szCs w:val="16"/>
              </w:rPr>
              <w:t xml:space="preserve"> wraz z budową studni głębinowej, budową stacji uzdatniania wody oraz rozbudową sieci wodociągowej i kanalizacji sanitarnej na terenie Gminy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4 500 000,00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Utworzenie Parku Przemysłowego Kominy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2019-IV kw. 2021</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Brodnica</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odcinka drogi gminnej nr G080523 Kominy-Gorczenica.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06.2015-2018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2 550 000,00</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we wsi Brzozie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dróg gminnych na osiedlu mieszkaniowym w Wielkim Głęboczku</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1 350 000,00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Brzozie-Brzozie Lub.(gr. 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drogi gminnej Sugajno-Sugajenko (gr. </w:t>
            </w:r>
            <w:r>
              <w:rPr>
                <w:rFonts w:ascii="Garamond" w:hAnsi="Garamond"/>
                <w:sz w:val="16"/>
                <w:szCs w:val="16"/>
              </w:rPr>
              <w:t>Gminy)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Mały Głęboczek-Trepki</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04.2018-11.2018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2 250 000,00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sanitarnej dla miejscowości Brzozie-</w:t>
            </w:r>
            <w:proofErr w:type="spellStart"/>
            <w:r w:rsidRPr="001534A8">
              <w:rPr>
                <w:rFonts w:ascii="Garamond" w:hAnsi="Garamond"/>
                <w:sz w:val="16"/>
                <w:szCs w:val="16"/>
              </w:rPr>
              <w:t>EtapII</w:t>
            </w:r>
            <w:proofErr w:type="spellEnd"/>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przydomowych oczyszczalni ścieków w Gminie Brzozie – 240 szt.</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04.2015-10.2018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wodociągowej w miejscowości Małe Leźno w kier. na Obrazik</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10.2015-10.2016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Brzozie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trzech ujęć wody w Brzoziu, Świeciu i Wielkim Leźnie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10.2016-10.2018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Baterie słoneczne źródłem ciepła dla Zespołu Szkół w Górznie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119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Zespół Szkół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oświetlenia w szkole i hali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Gminny Ośrodek Kultury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Reaktywacja starych zawodów, promocja rzemiosła i tradycyjnych wyrobów z terenu Górzna i okolic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punktu selektywnej zbiórki odpadów komunalnych w Górznie – ul. Gajowa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2019</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122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 oraz Parafia pod wezwaniem Podwyższenia Krzyża Świętego w Górznie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2021-2023</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Upowszechnianie aktywnej turystyki i rekreacji – promocja geocachingu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2018-2020</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Stacji Uzdatniania Wody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2017-2018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1 200 000,00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Pr>
                <w:rFonts w:ascii="Garamond" w:hAnsi="Garamond"/>
                <w:sz w:val="16"/>
                <w:szCs w:val="16"/>
              </w:rPr>
              <w:t xml:space="preserve">Budowa sieci </w:t>
            </w:r>
            <w:r w:rsidRPr="001534A8">
              <w:rPr>
                <w:rFonts w:ascii="Garamond" w:hAnsi="Garamond"/>
                <w:sz w:val="16"/>
                <w:szCs w:val="16"/>
              </w:rPr>
              <w:t xml:space="preserve">kanalizacyjnej Górzno Wybudowanie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2016</w:t>
            </w:r>
            <w:r w:rsidRPr="001534A8">
              <w:rPr>
                <w:rFonts w:ascii="Garamond" w:hAnsi="Garamond"/>
                <w:sz w:val="16"/>
                <w:szCs w:val="16"/>
              </w:rPr>
              <w:t>-2018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kanalizacyjno-sanitarnej w Zaborowie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2020-2022</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Pr>
                <w:rFonts w:ascii="Garamond" w:hAnsi="Garamond"/>
                <w:sz w:val="16"/>
                <w:szCs w:val="16"/>
              </w:rPr>
              <w:t>2</w:t>
            </w:r>
            <w:r w:rsidRPr="001534A8">
              <w:rPr>
                <w:rFonts w:ascii="Garamond" w:hAnsi="Garamond"/>
                <w:sz w:val="16"/>
                <w:szCs w:val="16"/>
              </w:rPr>
              <w:t> </w:t>
            </w:r>
            <w:r>
              <w:rPr>
                <w:rFonts w:ascii="Garamond" w:hAnsi="Garamond"/>
                <w:sz w:val="16"/>
                <w:szCs w:val="16"/>
              </w:rPr>
              <w:t>0</w:t>
            </w:r>
            <w:r w:rsidRPr="001534A8">
              <w:rPr>
                <w:rFonts w:ascii="Garamond" w:hAnsi="Garamond"/>
                <w:sz w:val="16"/>
                <w:szCs w:val="16"/>
              </w:rPr>
              <w:t>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Zdrowie w Mojej Gminie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02.01.2016-30.12.2016</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sieci </w:t>
            </w:r>
            <w:proofErr w:type="spellStart"/>
            <w:r w:rsidRPr="001534A8">
              <w:rPr>
                <w:rFonts w:ascii="Garamond" w:hAnsi="Garamond"/>
                <w:sz w:val="16"/>
                <w:szCs w:val="16"/>
              </w:rPr>
              <w:t>slow</w:t>
            </w:r>
            <w:proofErr w:type="spellEnd"/>
            <w:r w:rsidRPr="001534A8">
              <w:rPr>
                <w:rFonts w:ascii="Garamond" w:hAnsi="Garamond"/>
                <w:sz w:val="16"/>
                <w:szCs w:val="16"/>
              </w:rPr>
              <w:t xml:space="preserve"> food na bazie przedsiębiorstw i rolników z powiatu brodnickiego</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129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szatni w Zespole Szkół w Górznie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08.2015-03.2016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łazienek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instalacji wodno-kanalizacyjnej i CO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01.07.2016-31.08.2016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Wymiana drzwi w klasach i innych pomieszczeniach szkolnych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podłóg w starej części szkoły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Wyposażenie Zespołu Szkół w Górznie w sprzęt multimedialny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Płukanie instalacji centralnego ogrzewania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Atrakcyjne zagospodarowanie czasu wolnego dzieci i młodzieży z rodzin zagrożonych wykluczeniem społecznym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07.2017-08.2017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Parafia pod wezwaniem Podwyższenia Krzyża Świętego w Górznie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Utworzenie centrum miejsc dobrego życia w oparciu o wartości historyczne i kulturę regionu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Górzno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Pracownia komputerowa w Zespole Szkół w Górznie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139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oraz termomodernizacja budynków użyteczności publicznej na terenie Miasta i Gminy Jabłonowo Pomorskie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Jabłonowo </w:t>
            </w:r>
            <w:proofErr w:type="spellStart"/>
            <w:r w:rsidRPr="001534A8">
              <w:rPr>
                <w:rFonts w:ascii="Garamond" w:hAnsi="Garamond"/>
                <w:sz w:val="16"/>
                <w:szCs w:val="16"/>
              </w:rPr>
              <w:t>Pomorskie-Jabłonowo-Zamek-Bukowiec-Lembarg-Kruszyny</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4 282 687,50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ścieżek rowerowych na terenie Miasta i Gminy Jabłonowo Pomorskie – Jabłonowo </w:t>
            </w:r>
            <w:proofErr w:type="spellStart"/>
            <w:r w:rsidRPr="001534A8">
              <w:rPr>
                <w:rFonts w:ascii="Garamond" w:hAnsi="Garamond"/>
                <w:sz w:val="16"/>
                <w:szCs w:val="16"/>
              </w:rPr>
              <w:t>Pomorskie-Górale-Konojady-Tomki</w:t>
            </w:r>
            <w:proofErr w:type="spellEnd"/>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5 280 187,50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i doposażenie oddz</w:t>
            </w:r>
            <w:r>
              <w:rPr>
                <w:rFonts w:ascii="Garamond" w:hAnsi="Garamond"/>
                <w:sz w:val="16"/>
                <w:szCs w:val="16"/>
              </w:rPr>
              <w:t>iałów przedszkolnych w Góralach</w:t>
            </w:r>
            <w:r w:rsidRPr="001534A8">
              <w:rPr>
                <w:rFonts w:ascii="Garamond" w:hAnsi="Garamond"/>
                <w:sz w:val="16"/>
                <w:szCs w:val="16"/>
              </w:rPr>
              <w:t xml:space="preserve"> oraz </w:t>
            </w:r>
            <w:proofErr w:type="spellStart"/>
            <w:r w:rsidRPr="001534A8">
              <w:rPr>
                <w:rFonts w:ascii="Garamond" w:hAnsi="Garamond"/>
                <w:sz w:val="16"/>
                <w:szCs w:val="16"/>
              </w:rPr>
              <w:t>Płowężu</w:t>
            </w:r>
            <w:proofErr w:type="spellEnd"/>
            <w:r w:rsidRPr="001534A8">
              <w:rPr>
                <w:rFonts w:ascii="Garamond" w:hAnsi="Garamond"/>
                <w:sz w:val="16"/>
                <w:szCs w:val="16"/>
              </w:rPr>
              <w:t xml:space="preserve"> na terenie Miasta i Gminy Jabłonowo Pomorskie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06.2016-10.2016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174 540,00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Wykonanie energooszczędnego oświetlenia ulicznego – stawianie lamp solarnych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07.2015-08.2018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2 600 000,00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zorganizowanego wypoczynku letniego dla dzieci i młodzieży „Aktywny wypoczynek dzieci i młodzieży”</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Budowa boisk wiejskich w miejscowościach: Lembarg, Mileszewy, Budziszewo, Buk Pomorski, Buk Góralski, Szczepanki i Górale</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890 000,00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146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stadionów sportowych na ul. Słonecznej oraz na ul. Urzędowej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870 000,00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stacjonarnego Punktu Selektywnej Zbiórki Odpadów Komunalnych (PSZOK)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04.2017-11.2017</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przydomowych oczyszczalni ścieków oraz remont infrastruktury wod.-kan.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04.2016-10.2018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6 200 702,00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149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Remont świetlic wiejskich na terenie Miasta i Gminy Jabłonowo Pomorskie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05.2018-12.2018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815 000,00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hideMark/>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sali sportowej oraz boiska wielofunkcyjnego przy Szkole Podstawowej w Jabłonowie Pomorskim </w:t>
            </w:r>
          </w:p>
        </w:tc>
        <w:tc>
          <w:tcPr>
            <w:tcW w:w="602" w:type="pct"/>
            <w:shd w:val="clear" w:color="auto" w:fill="auto"/>
            <w:noWrap/>
            <w:vAlign w:val="center"/>
            <w:hideMark/>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01.05.2016-01.09.2018</w:t>
            </w:r>
          </w:p>
        </w:tc>
        <w:tc>
          <w:tcPr>
            <w:tcW w:w="515" w:type="pct"/>
            <w:shd w:val="clear" w:color="auto" w:fill="auto"/>
            <w:noWrap/>
            <w:vAlign w:val="center"/>
            <w:hideMark/>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Pr>
                <w:rFonts w:ascii="Garamond" w:hAnsi="Garamond"/>
                <w:sz w:val="16"/>
                <w:szCs w:val="16"/>
              </w:rPr>
              <w:t>152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Poprawa stanu gospodarki wodno-ściekowej poprzez zakup i montaż prasy do odwadniania osadów na terenie oczyszczalni ścieków w Jabłonowie Pomorskim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03.2016-11.2016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427 503,23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Rewitalizacja społeczno-gospodarcza Rynku w Jabłonowie Pomorskim (Projekt komplementarny do projektu Rewitalizacja Rynku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05.2016-12.2018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Amatorski teatr dla dzieci i młodzieży, warsztaty teatralne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03.2016-06.2018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Ferie zimowe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01.2016-03.2018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„Jabłonowska noc kulturalna” - cykliczna impreza mająca na celu upowszechnienie obcowania z kulturą</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„Jabłonowskie potyczki poetyckie” – cykliczne spotkania lokalnych twórców</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„Czas na kino”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159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dla lokalnych twórców poezji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02.2016-06.2018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Podniesienie aktywności i zachęcenie do samorozwoju rodziców małych dzieci poprzez organizację "Klubu Mam"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Równy dostęp do kultury i edukacji kulturalnej „Magiel artystyczny”</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01.2016-06.2018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Majówka z biblioteką - piknik z okazji tygodnia bibliotek i bibliotekarza</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04.2016-06.2018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60 000,00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"Kino w bibliotece" - projekcje filmów, połączone z klubem dyskusyjnym, warsztaty filmowe i  konkursy dla osób w wieku 18+</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Komputerowe dla osób 50+ w bibliotece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05.2016-10.2017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 xml:space="preserve">Miasto i Gmina Jabłonowo </w:t>
            </w:r>
            <w:r w:rsidRPr="001534A8">
              <w:rPr>
                <w:rFonts w:ascii="Garamond" w:hAnsi="Garamond"/>
                <w:sz w:val="16"/>
                <w:szCs w:val="16"/>
              </w:rPr>
              <w:lastRenderedPageBreak/>
              <w:t>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lastRenderedPageBreak/>
              <w:t>Równy dostęp do kultury „Życie to jest teatr”</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166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aktywizujące dla dorosłych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05.2017-05.2018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Zajęcia artystyczne dla dzieci oraz spotkania z przedstawicielami różnych dziedzin kultury i sztuki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Warsztaty dziennikarskie i fotograficzne organizowane przez Miejską Bibliotekę Publiczną w Jabłonowie Pomorskim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169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„Śpiewać każdy może” – warsztaty wokalne dla solistów chórów i zespołów wokalnych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Spotkania autorskie z pisarzami i poetami, warsztaty językowe dla dzieci, młodzieży i dorosłych</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33 000,00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Miasto i Gmina Jabłonowo Pomorskie</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Wsparcie bibliotekarzy ukierunkowane na podniesienie kwalifikacji w zakresie bibliotekoznawstwa, udział w warsztatach i szkoleniach specjalistycznych, które biorą pod uwagę kierunek rozwoju biblioteki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 kw. 2016-II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drogi gminnej Kujawa-</w:t>
            </w:r>
            <w:proofErr w:type="spellStart"/>
            <w:r w:rsidRPr="001534A8">
              <w:rPr>
                <w:rFonts w:ascii="Garamond" w:hAnsi="Garamond"/>
                <w:sz w:val="16"/>
                <w:szCs w:val="16"/>
              </w:rPr>
              <w:t>Szynkowizna</w:t>
            </w:r>
            <w:proofErr w:type="spellEnd"/>
            <w:r w:rsidRPr="001534A8">
              <w:rPr>
                <w:rFonts w:ascii="Garamond" w:hAnsi="Garamond"/>
                <w:sz w:val="16"/>
                <w:szCs w:val="16"/>
              </w:rPr>
              <w:t xml:space="preserve"> – 2,5 km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2018-III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Osiek – Dębowo – Tadajewo – Sumin – 5,1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2017-III kw. 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w:t>
            </w:r>
            <w:proofErr w:type="spellStart"/>
            <w:r w:rsidRPr="001534A8">
              <w:rPr>
                <w:rFonts w:ascii="Garamond" w:hAnsi="Garamond"/>
                <w:sz w:val="16"/>
                <w:szCs w:val="16"/>
              </w:rPr>
              <w:t>Łapinóż</w:t>
            </w:r>
            <w:proofErr w:type="spellEnd"/>
            <w:r w:rsidRPr="001534A8">
              <w:rPr>
                <w:rFonts w:ascii="Garamond" w:hAnsi="Garamond"/>
                <w:sz w:val="16"/>
                <w:szCs w:val="16"/>
              </w:rPr>
              <w:t xml:space="preserve"> – Wrzeszewo - 2,5 km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II-III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2.500.000</w:t>
            </w:r>
          </w:p>
          <w:p w:rsidR="000326FF" w:rsidRPr="001534A8" w:rsidRDefault="000326FF" w:rsidP="00324C7B">
            <w:pPr>
              <w:spacing w:before="20" w:after="20"/>
              <w:jc w:val="right"/>
              <w:rPr>
                <w:rFonts w:ascii="Garamond" w:hAnsi="Garamond"/>
                <w:sz w:val="16"/>
                <w:szCs w:val="16"/>
              </w:rPr>
            </w:pP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Rekultywacja wysypiska śmieci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Osiek</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Wymiana źródeł ciepła na ogrzewanie gazowe.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III-IV kw.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900.000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oczyszczalni ścieków z budową kanalizacji zbiorowej, budowa przydomowych oczyszczalni ścieków oraz wykonanie stacji podwyższania ciśnienia wraz ze zbiornikiem retencyjnym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2018-IV kw. 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Świedziebnia</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Budowa przyszkolnej sali gimnastycznej przy Szkole Podstawowej w Janowie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II kw. 2018-II kw. 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2 000 000,00 zł</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179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Kompleksowe wsparcie indywidualnych systemów oczyszczania ścieków – budowa przydomowych oczyszczalni ścieków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przepompowni ścieków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160 000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Modernizacja stacji uzdatniania wody w miejscowości Gaj – </w:t>
            </w:r>
            <w:proofErr w:type="spellStart"/>
            <w:r w:rsidRPr="001534A8">
              <w:rPr>
                <w:rFonts w:ascii="Garamond" w:hAnsi="Garamond"/>
                <w:sz w:val="16"/>
                <w:szCs w:val="16"/>
              </w:rPr>
              <w:t>Grzmięca</w:t>
            </w:r>
            <w:proofErr w:type="spellEnd"/>
            <w:r w:rsidRPr="001534A8">
              <w:rPr>
                <w:rFonts w:ascii="Garamond" w:hAnsi="Garamond"/>
                <w:sz w:val="16"/>
                <w:szCs w:val="16"/>
              </w:rPr>
              <w:t>.</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ujęcia wody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sieci wodociągowej na terenie Gminy Zbiczno.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kanalizacji  sanitarnej w Żmijewie.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sieci kanalizacji deszczowej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Pokrzydowo – Lipowiec.</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189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drogi gminnej Sumowo – Sumówko.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Przebudowa dróg gminnych w miejscowości Sumowo – centrum.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700 000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Przebudowa drogi gminnej nr 080212C w Zbicznie I </w:t>
            </w:r>
            <w:proofErr w:type="spellStart"/>
            <w:r w:rsidRPr="001534A8">
              <w:rPr>
                <w:rFonts w:ascii="Garamond" w:hAnsi="Garamond"/>
                <w:sz w:val="16"/>
                <w:szCs w:val="16"/>
              </w:rPr>
              <w:t>i</w:t>
            </w:r>
            <w:proofErr w:type="spellEnd"/>
            <w:r w:rsidRPr="001534A8">
              <w:rPr>
                <w:rFonts w:ascii="Garamond" w:hAnsi="Garamond"/>
                <w:sz w:val="16"/>
                <w:szCs w:val="16"/>
              </w:rPr>
              <w:t xml:space="preserve"> II etap.</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lastRenderedPageBreak/>
              <w:t>192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Cichem.</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300 000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placu zabaw przy Zespole Szkół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140 000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boiska wielofunkcyjnego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2020</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250 000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budynku wielolokalowego z przeznaczeniem na mieszkania socjalne i komunalne.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2 000 000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197</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 xml:space="preserve">Rewitalizacja zespołu dworsko – parkowego w Sumówku </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2 500 000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198</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Modernizacja pomieszczeń klasowych w Zespole Szkół w Zbicznie i Zespole Szkól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400 000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199</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Budowa punktu selektywnej zbiórki odpadów komunalnych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280 000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200</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Rozbudowa oświetlenia ulicznego z zastosowaniem OZE.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2018-2019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Pokrzydowie.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202</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Rekultywacja stawu w Najmowie.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2019</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203</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plaż gminnych nad jeziorem Zbiczno i nad jeziorem Łąki.</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204</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wraz z budową parkingu przy budynku biurowym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2017</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200 000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205</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Zagospodarowanie przestrzeni publicznej na siłownie zewnętrzne w miejscowości Zbiczno i Pokrzydowo.</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1534A8" w:rsidTr="00324C7B">
        <w:trPr>
          <w:trHeight w:val="20"/>
        </w:trPr>
        <w:tc>
          <w:tcPr>
            <w:tcW w:w="175"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206</w:t>
            </w:r>
          </w:p>
        </w:tc>
        <w:tc>
          <w:tcPr>
            <w:tcW w:w="752" w:type="pct"/>
            <w:shd w:val="clear" w:color="auto" w:fill="auto"/>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Gmina Zbiczno</w:t>
            </w:r>
          </w:p>
        </w:tc>
        <w:tc>
          <w:tcPr>
            <w:tcW w:w="2956" w:type="pct"/>
            <w:shd w:val="clear" w:color="auto" w:fill="auto"/>
            <w:noWrap/>
            <w:vAlign w:val="center"/>
          </w:tcPr>
          <w:p w:rsidR="000326FF" w:rsidRPr="001534A8" w:rsidRDefault="000326FF" w:rsidP="00324C7B">
            <w:pPr>
              <w:spacing w:before="20" w:after="20"/>
              <w:rPr>
                <w:rFonts w:ascii="Garamond" w:hAnsi="Garamond"/>
                <w:sz w:val="16"/>
                <w:szCs w:val="16"/>
              </w:rPr>
            </w:pPr>
            <w:r w:rsidRPr="001534A8">
              <w:rPr>
                <w:rFonts w:ascii="Garamond" w:hAnsi="Garamond"/>
                <w:sz w:val="16"/>
                <w:szCs w:val="16"/>
              </w:rPr>
              <w:t>Poszerzenie wachlarza zajęć pozalekcyjnych, stworzenie „Ludowego zespołu pieśni i tańca” w Zespole Szkół w Zbicznie.</w:t>
            </w:r>
          </w:p>
        </w:tc>
        <w:tc>
          <w:tcPr>
            <w:tcW w:w="602" w:type="pct"/>
            <w:shd w:val="clear" w:color="auto" w:fill="auto"/>
            <w:noWrap/>
            <w:vAlign w:val="center"/>
          </w:tcPr>
          <w:p w:rsidR="000326FF" w:rsidRPr="001534A8" w:rsidRDefault="000326FF" w:rsidP="00324C7B">
            <w:pPr>
              <w:spacing w:before="20" w:after="20"/>
              <w:jc w:val="center"/>
              <w:rPr>
                <w:rFonts w:ascii="Garamond" w:hAnsi="Garamond"/>
                <w:sz w:val="16"/>
                <w:szCs w:val="16"/>
              </w:rPr>
            </w:pPr>
            <w:r w:rsidRPr="001534A8">
              <w:rPr>
                <w:rFonts w:ascii="Garamond" w:hAnsi="Garamond"/>
                <w:sz w:val="16"/>
                <w:szCs w:val="16"/>
              </w:rPr>
              <w:t>2016 - 2018</w:t>
            </w:r>
          </w:p>
        </w:tc>
        <w:tc>
          <w:tcPr>
            <w:tcW w:w="515" w:type="pct"/>
            <w:shd w:val="clear" w:color="auto" w:fill="auto"/>
            <w:noWrap/>
            <w:vAlign w:val="center"/>
          </w:tcPr>
          <w:p w:rsidR="000326FF" w:rsidRPr="001534A8" w:rsidRDefault="000326FF" w:rsidP="00324C7B">
            <w:pPr>
              <w:spacing w:before="20" w:after="20"/>
              <w:jc w:val="right"/>
              <w:rPr>
                <w:rFonts w:ascii="Garamond" w:hAnsi="Garamond"/>
                <w:sz w:val="16"/>
                <w:szCs w:val="16"/>
              </w:rPr>
            </w:pPr>
            <w:r w:rsidRPr="001534A8">
              <w:rPr>
                <w:rFonts w:ascii="Garamond" w:hAnsi="Garamond"/>
                <w:sz w:val="16"/>
                <w:szCs w:val="16"/>
              </w:rPr>
              <w:t>100 000</w:t>
            </w:r>
          </w:p>
        </w:tc>
      </w:tr>
      <w:tr w:rsidR="000326FF" w:rsidRPr="0054136A" w:rsidTr="00324C7B">
        <w:trPr>
          <w:trHeight w:val="20"/>
        </w:trPr>
        <w:tc>
          <w:tcPr>
            <w:tcW w:w="175"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207</w:t>
            </w:r>
          </w:p>
        </w:tc>
        <w:tc>
          <w:tcPr>
            <w:tcW w:w="752" w:type="pct"/>
            <w:shd w:val="clear" w:color="auto" w:fill="auto"/>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Gmina Brzozie</w:t>
            </w:r>
          </w:p>
        </w:tc>
        <w:tc>
          <w:tcPr>
            <w:tcW w:w="2956" w:type="pct"/>
            <w:shd w:val="clear" w:color="auto" w:fill="auto"/>
            <w:noWrap/>
            <w:vAlign w:val="center"/>
          </w:tcPr>
          <w:p w:rsidR="000326FF" w:rsidRPr="003C65FD" w:rsidRDefault="000326FF" w:rsidP="00324C7B">
            <w:pPr>
              <w:spacing w:before="20" w:after="20"/>
              <w:rPr>
                <w:rFonts w:ascii="Garamond" w:hAnsi="Garamond"/>
                <w:sz w:val="16"/>
                <w:szCs w:val="16"/>
              </w:rPr>
            </w:pPr>
            <w:r w:rsidRPr="003C65FD">
              <w:rPr>
                <w:rFonts w:ascii="Garamond" w:hAnsi="Garamond"/>
                <w:sz w:val="16"/>
                <w:szCs w:val="16"/>
              </w:rPr>
              <w:t>Kompleksowa termomodernizacja wraz z montażem paneli fotowoltaicznych i wymiana istniejącego oświetlenia na energooszczędne w budynkach użyteczności publicznej: budynki Szkół Podstawowych i Gimnazjum, Urzędu Gminy, Biblioteki Publicznej, Świetlic wiejskich i Klubu Internetowego.</w:t>
            </w:r>
          </w:p>
        </w:tc>
        <w:tc>
          <w:tcPr>
            <w:tcW w:w="602" w:type="pct"/>
            <w:shd w:val="clear" w:color="auto" w:fill="auto"/>
            <w:noWrap/>
            <w:vAlign w:val="center"/>
          </w:tcPr>
          <w:p w:rsidR="000326FF" w:rsidRPr="003C65FD" w:rsidRDefault="000326FF" w:rsidP="00324C7B">
            <w:pPr>
              <w:spacing w:before="20" w:after="20"/>
              <w:jc w:val="center"/>
              <w:rPr>
                <w:rFonts w:ascii="Garamond" w:hAnsi="Garamond"/>
                <w:sz w:val="16"/>
                <w:szCs w:val="16"/>
              </w:rPr>
            </w:pPr>
            <w:r w:rsidRPr="003C65FD">
              <w:rPr>
                <w:rFonts w:ascii="Garamond" w:hAnsi="Garamond"/>
                <w:sz w:val="16"/>
                <w:szCs w:val="16"/>
              </w:rPr>
              <w:t>2016-2017</w:t>
            </w:r>
          </w:p>
        </w:tc>
        <w:tc>
          <w:tcPr>
            <w:tcW w:w="515" w:type="pct"/>
            <w:shd w:val="clear" w:color="auto" w:fill="auto"/>
            <w:noWrap/>
            <w:vAlign w:val="center"/>
          </w:tcPr>
          <w:p w:rsidR="000326FF" w:rsidRPr="0054136A" w:rsidRDefault="000326FF" w:rsidP="00324C7B">
            <w:pPr>
              <w:spacing w:before="20" w:after="20"/>
              <w:jc w:val="right"/>
              <w:rPr>
                <w:rFonts w:ascii="Garamond" w:hAnsi="Garamond"/>
                <w:sz w:val="16"/>
                <w:szCs w:val="16"/>
              </w:rPr>
            </w:pPr>
            <w:r w:rsidRPr="0054136A">
              <w:rPr>
                <w:rFonts w:ascii="Garamond" w:hAnsi="Garamond"/>
                <w:sz w:val="16"/>
                <w:szCs w:val="16"/>
              </w:rPr>
              <w:t>1 800 000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208</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Nowoczesne umiejętności kluczem do zatrudnienia – PCKP i U</w:t>
            </w:r>
          </w:p>
          <w:p w:rsidR="000326FF" w:rsidRPr="00953A9C" w:rsidRDefault="000326FF" w:rsidP="00324C7B">
            <w:pPr>
              <w:spacing w:before="20" w:after="20"/>
              <w:rPr>
                <w:rFonts w:ascii="Garamond" w:hAnsi="Garamond"/>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1 733 000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209</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Powiat Brodnicki/PCPR</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Wsparcie i rozwój pieczy zastępczej i osób niepełnosprawnych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133 070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210</w:t>
            </w:r>
          </w:p>
        </w:tc>
        <w:tc>
          <w:tcPr>
            <w:tcW w:w="752" w:type="pct"/>
            <w:shd w:val="clear" w:color="auto" w:fill="auto"/>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Dzieci niepełnosprawne z powiatu brodnickiego z rodzicami</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Popołudniowe zajęcia dla dzieci niepełnosprawnych na bazie zajęć edukacyjno-terapeutycznych</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2015-2016</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11 000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211</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Caritas Diecezji Toruńskiej, Brodnickie Centrum Caritas</w:t>
            </w:r>
          </w:p>
          <w:p w:rsidR="000326FF" w:rsidRPr="00953A9C" w:rsidRDefault="000326FF" w:rsidP="00324C7B">
            <w:pPr>
              <w:spacing w:before="20" w:after="20"/>
              <w:jc w:val="center"/>
              <w:rPr>
                <w:rFonts w:ascii="Garamond" w:hAnsi="Garamond"/>
                <w:sz w:val="16"/>
                <w:szCs w:val="16"/>
              </w:rPr>
            </w:pP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 xml:space="preserve">Droga do samodzielności </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1 100 000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212</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Brzozie</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Żyj zdrowo i aktywnie!</w:t>
            </w:r>
          </w:p>
          <w:p w:rsidR="000326FF" w:rsidRPr="00953A9C" w:rsidRDefault="000326FF" w:rsidP="00324C7B">
            <w:pPr>
              <w:spacing w:before="40" w:after="40" w:line="240" w:lineRule="auto"/>
              <w:rPr>
                <w:rFonts w:ascii="Garamond" w:eastAsia="Times New Roman" w:hAnsi="Garamond" w:cs="Arial"/>
                <w:sz w:val="16"/>
                <w:szCs w:val="16"/>
              </w:rPr>
            </w:pP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213</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Zbiczno</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Uczymy się pomagać</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30 000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214</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sidRPr="00953A9C">
              <w:rPr>
                <w:rFonts w:ascii="Garamond" w:eastAsia="Times New Roman" w:hAnsi="Garamond" w:cs="Arial"/>
                <w:sz w:val="16"/>
                <w:szCs w:val="16"/>
              </w:rPr>
              <w:t>Gmina Bartniczka</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eastAsia="Times New Roman" w:hAnsi="Garamond" w:cs="Arial"/>
                <w:sz w:val="16"/>
                <w:szCs w:val="16"/>
              </w:rPr>
              <w:t>Termomodernizacja wraz ze zmianą sposobu użytkowania budynków oświatowych położonych w Grążawach na budynki służące realizacji usług opiekuńczych, jak również specjalistycznych usług opiekuńczych dla osób starszych –Dzienny Dom (SENIOR WIGOR</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sidRPr="00953A9C">
              <w:rPr>
                <w:rFonts w:ascii="Garamond" w:hAnsi="Garamond"/>
                <w:sz w:val="16"/>
                <w:szCs w:val="16"/>
              </w:rPr>
              <w:t>2015-2018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sidRPr="00953A9C">
              <w:rPr>
                <w:rFonts w:ascii="Garamond" w:hAnsi="Garamond"/>
                <w:sz w:val="16"/>
                <w:szCs w:val="16"/>
              </w:rPr>
              <w:t>1 020 617,10</w:t>
            </w:r>
          </w:p>
        </w:tc>
      </w:tr>
      <w:tr w:rsidR="000326FF" w:rsidRPr="00953A9C" w:rsidTr="00324C7B">
        <w:trPr>
          <w:trHeight w:val="20"/>
        </w:trPr>
        <w:tc>
          <w:tcPr>
            <w:tcW w:w="175"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215</w:t>
            </w:r>
          </w:p>
        </w:tc>
        <w:tc>
          <w:tcPr>
            <w:tcW w:w="752" w:type="pct"/>
            <w:shd w:val="clear" w:color="auto" w:fill="auto"/>
            <w:vAlign w:val="center"/>
          </w:tcPr>
          <w:p w:rsidR="000326FF" w:rsidRPr="00953A9C"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 xml:space="preserve">Gmina Miasta </w:t>
            </w:r>
            <w:proofErr w:type="spellStart"/>
            <w:r>
              <w:rPr>
                <w:rFonts w:ascii="Garamond" w:eastAsia="Times New Roman" w:hAnsi="Garamond" w:cs="Arial"/>
                <w:sz w:val="16"/>
                <w:szCs w:val="16"/>
              </w:rPr>
              <w:t>Brodniac</w:t>
            </w:r>
            <w:proofErr w:type="spellEnd"/>
            <w:r>
              <w:rPr>
                <w:rFonts w:ascii="Garamond" w:eastAsia="Times New Roman" w:hAnsi="Garamond" w:cs="Arial"/>
                <w:sz w:val="16"/>
                <w:szCs w:val="16"/>
              </w:rPr>
              <w:t>/PGK</w:t>
            </w:r>
          </w:p>
        </w:tc>
        <w:tc>
          <w:tcPr>
            <w:tcW w:w="2956" w:type="pct"/>
            <w:shd w:val="clear" w:color="auto" w:fill="auto"/>
            <w:noWrap/>
            <w:vAlign w:val="center"/>
          </w:tcPr>
          <w:p w:rsidR="000326FF" w:rsidRPr="00953A9C" w:rsidRDefault="000326FF" w:rsidP="00324C7B">
            <w:pPr>
              <w:spacing w:before="40" w:after="40" w:line="240" w:lineRule="auto"/>
              <w:rPr>
                <w:rFonts w:ascii="Garamond" w:eastAsia="Times New Roman" w:hAnsi="Garamond" w:cs="Arial"/>
                <w:sz w:val="16"/>
                <w:szCs w:val="16"/>
              </w:rPr>
            </w:pPr>
            <w:r w:rsidRPr="00953A9C">
              <w:rPr>
                <w:rFonts w:ascii="Garamond" w:hAnsi="Garamond" w:cs="Arial"/>
                <w:sz w:val="16"/>
                <w:szCs w:val="16"/>
              </w:rPr>
              <w:t>Inteligentny system zarządzania parkingami na terenie centrum miasta Brodnicy w ramach programu Smart City ( inteligentne miasto) dla inteligentnego systemu  transportowego (ITS)</w:t>
            </w:r>
          </w:p>
        </w:tc>
        <w:tc>
          <w:tcPr>
            <w:tcW w:w="602" w:type="pct"/>
            <w:shd w:val="clear" w:color="auto" w:fill="auto"/>
            <w:noWrap/>
            <w:vAlign w:val="center"/>
          </w:tcPr>
          <w:p w:rsidR="000326FF" w:rsidRPr="00953A9C" w:rsidRDefault="000326FF" w:rsidP="00324C7B">
            <w:pPr>
              <w:spacing w:before="20" w:after="20"/>
              <w:jc w:val="center"/>
              <w:rPr>
                <w:rFonts w:ascii="Garamond" w:hAnsi="Garamond"/>
                <w:sz w:val="16"/>
                <w:szCs w:val="16"/>
              </w:rPr>
            </w:pPr>
            <w:r>
              <w:rPr>
                <w:rFonts w:ascii="Garamond" w:hAnsi="Garamond"/>
                <w:sz w:val="16"/>
                <w:szCs w:val="16"/>
              </w:rPr>
              <w:t>2016-2018</w:t>
            </w:r>
          </w:p>
        </w:tc>
        <w:tc>
          <w:tcPr>
            <w:tcW w:w="515" w:type="pct"/>
            <w:shd w:val="clear" w:color="auto" w:fill="auto"/>
            <w:noWrap/>
            <w:vAlign w:val="center"/>
          </w:tcPr>
          <w:p w:rsidR="000326FF" w:rsidRPr="00953A9C" w:rsidRDefault="000326FF" w:rsidP="00324C7B">
            <w:pPr>
              <w:spacing w:before="20" w:after="20"/>
              <w:jc w:val="right"/>
              <w:rPr>
                <w:rFonts w:ascii="Garamond" w:hAnsi="Garamond"/>
                <w:sz w:val="16"/>
                <w:szCs w:val="16"/>
              </w:rPr>
            </w:pPr>
            <w:r>
              <w:rPr>
                <w:rFonts w:ascii="Garamond" w:hAnsi="Garamond"/>
                <w:sz w:val="16"/>
                <w:szCs w:val="16"/>
              </w:rPr>
              <w:t>1 160 000,00</w:t>
            </w:r>
          </w:p>
        </w:tc>
      </w:tr>
      <w:tr w:rsidR="000326FF" w:rsidRPr="00953A9C" w:rsidTr="00324C7B">
        <w:trPr>
          <w:trHeight w:val="20"/>
        </w:trPr>
        <w:tc>
          <w:tcPr>
            <w:tcW w:w="175"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lastRenderedPageBreak/>
              <w:t>216</w:t>
            </w:r>
          </w:p>
        </w:tc>
        <w:tc>
          <w:tcPr>
            <w:tcW w:w="752" w:type="pct"/>
            <w:shd w:val="clear" w:color="auto" w:fill="auto"/>
            <w:vAlign w:val="center"/>
          </w:tcPr>
          <w:p w:rsidR="000326FF" w:rsidRDefault="000326FF" w:rsidP="00324C7B">
            <w:pPr>
              <w:spacing w:before="40" w:after="40" w:line="240" w:lineRule="auto"/>
              <w:jc w:val="center"/>
              <w:rPr>
                <w:rFonts w:ascii="Garamond" w:eastAsia="Times New Roman" w:hAnsi="Garamond" w:cs="Arial"/>
                <w:sz w:val="16"/>
                <w:szCs w:val="16"/>
              </w:rPr>
            </w:pPr>
            <w:r>
              <w:rPr>
                <w:rFonts w:ascii="Garamond" w:eastAsia="Times New Roman" w:hAnsi="Garamond" w:cs="Arial"/>
                <w:sz w:val="16"/>
                <w:szCs w:val="16"/>
              </w:rPr>
              <w:t>Gmina Bobrowo</w:t>
            </w:r>
          </w:p>
        </w:tc>
        <w:tc>
          <w:tcPr>
            <w:tcW w:w="2956" w:type="pct"/>
            <w:shd w:val="clear" w:color="auto" w:fill="auto"/>
            <w:noWrap/>
            <w:vAlign w:val="center"/>
          </w:tcPr>
          <w:p w:rsidR="000326FF" w:rsidRPr="00953A9C" w:rsidRDefault="000326FF" w:rsidP="00324C7B">
            <w:pPr>
              <w:spacing w:before="40" w:after="40" w:line="240" w:lineRule="auto"/>
              <w:rPr>
                <w:rFonts w:ascii="Garamond" w:hAnsi="Garamond" w:cs="Arial"/>
                <w:sz w:val="16"/>
                <w:szCs w:val="16"/>
              </w:rPr>
            </w:pPr>
            <w:r>
              <w:rPr>
                <w:rFonts w:ascii="Garamond" w:hAnsi="Garamond" w:cs="Arial"/>
                <w:sz w:val="16"/>
                <w:szCs w:val="16"/>
              </w:rPr>
              <w:t>Aktywizacja społeczno-zawodowa osób bezrobotnych, zagrożonych wykluczeniem społecznym lub wykluczonych społecznie zamieszkałych na terenie Gminy Bobrowo</w:t>
            </w:r>
          </w:p>
        </w:tc>
        <w:tc>
          <w:tcPr>
            <w:tcW w:w="602" w:type="pct"/>
            <w:shd w:val="clear" w:color="auto" w:fill="auto"/>
            <w:noWrap/>
            <w:vAlign w:val="center"/>
          </w:tcPr>
          <w:p w:rsidR="000326FF" w:rsidRDefault="000326FF" w:rsidP="00324C7B">
            <w:pPr>
              <w:spacing w:before="20" w:after="20"/>
              <w:jc w:val="center"/>
              <w:rPr>
                <w:rFonts w:ascii="Garamond" w:hAnsi="Garamond"/>
                <w:sz w:val="16"/>
                <w:szCs w:val="16"/>
              </w:rPr>
            </w:pPr>
            <w:r>
              <w:rPr>
                <w:rFonts w:ascii="Garamond" w:hAnsi="Garamond"/>
                <w:sz w:val="16"/>
                <w:szCs w:val="16"/>
              </w:rPr>
              <w:t>2016-2020</w:t>
            </w:r>
          </w:p>
        </w:tc>
        <w:tc>
          <w:tcPr>
            <w:tcW w:w="515" w:type="pct"/>
            <w:shd w:val="clear" w:color="auto" w:fill="auto"/>
            <w:noWrap/>
            <w:vAlign w:val="center"/>
          </w:tcPr>
          <w:p w:rsidR="000326FF" w:rsidRDefault="000326FF" w:rsidP="00324C7B">
            <w:pPr>
              <w:spacing w:before="20" w:after="20"/>
              <w:jc w:val="right"/>
              <w:rPr>
                <w:rFonts w:ascii="Garamond" w:hAnsi="Garamond"/>
                <w:sz w:val="16"/>
                <w:szCs w:val="16"/>
              </w:rPr>
            </w:pPr>
            <w:r>
              <w:rPr>
                <w:rFonts w:ascii="Garamond" w:hAnsi="Garamond"/>
                <w:sz w:val="16"/>
                <w:szCs w:val="16"/>
              </w:rPr>
              <w:t>1 350 000,00</w:t>
            </w:r>
          </w:p>
        </w:tc>
      </w:tr>
    </w:tbl>
    <w:p w:rsidR="000326FF" w:rsidRPr="00953A9C" w:rsidRDefault="000326FF" w:rsidP="000326FF">
      <w:pPr>
        <w:jc w:val="both"/>
        <w:rPr>
          <w:rFonts w:ascii="Garamond" w:hAnsi="Garamond"/>
          <w:b/>
          <w:sz w:val="40"/>
        </w:rPr>
        <w:sectPr w:rsidR="000326FF" w:rsidRPr="00953A9C" w:rsidSect="00324C7B">
          <w:pgSz w:w="16838" w:h="11906" w:orient="landscape"/>
          <w:pgMar w:top="1417" w:right="1417" w:bottom="1417" w:left="1417" w:header="708" w:footer="708" w:gutter="0"/>
          <w:cols w:space="708"/>
          <w:docGrid w:linePitch="360"/>
        </w:sectPr>
      </w:pPr>
    </w:p>
    <w:p w:rsidR="000326FF" w:rsidRDefault="000326FF" w:rsidP="000326FF"/>
    <w:p w:rsidR="00567C3E" w:rsidRPr="00953A9C" w:rsidRDefault="00567C3E" w:rsidP="00567C3E">
      <w:pPr>
        <w:pStyle w:val="ST2"/>
        <w:rPr>
          <w:color w:val="auto"/>
        </w:rPr>
      </w:pPr>
      <w:bookmarkStart w:id="108" w:name="_Toc419705531"/>
      <w:r w:rsidRPr="00953A9C">
        <w:rPr>
          <w:color w:val="auto"/>
        </w:rPr>
        <w:t>Wskaźniki do osiągnięcia w obszarze</w:t>
      </w:r>
      <w:bookmarkEnd w:id="108"/>
      <w:r w:rsidRPr="00953A9C">
        <w:rPr>
          <w:color w:val="auto"/>
        </w:rPr>
        <w:t xml:space="preserve"> </w:t>
      </w:r>
    </w:p>
    <w:p w:rsidR="00567C3E" w:rsidRPr="00953A9C" w:rsidRDefault="00567C3E" w:rsidP="00567C3E">
      <w:pPr>
        <w:pStyle w:val="S1"/>
        <w:numPr>
          <w:ilvl w:val="0"/>
          <w:numId w:val="0"/>
        </w:numPr>
        <w:spacing w:after="0"/>
        <w:ind w:firstLine="708"/>
        <w:rPr>
          <w:b w:val="0"/>
          <w:color w:val="auto"/>
          <w:sz w:val="22"/>
        </w:rPr>
      </w:pPr>
      <w:r w:rsidRPr="00953A9C">
        <w:rPr>
          <w:b w:val="0"/>
          <w:color w:val="auto"/>
          <w:sz w:val="22"/>
        </w:rPr>
        <w:t>W wyniku realizacji projektów ujętych na liście podstawowej zostaną osiągnięte wartości wskaźników przedstawione w poniższej tabeli.</w:t>
      </w:r>
    </w:p>
    <w:p w:rsidR="00567C3E" w:rsidRPr="00953A9C" w:rsidRDefault="00567C3E" w:rsidP="00567C3E">
      <w:pPr>
        <w:pStyle w:val="T"/>
        <w:rPr>
          <w:color w:val="auto"/>
          <w:sz w:val="36"/>
        </w:rPr>
      </w:pPr>
      <w:bookmarkStart w:id="109" w:name="_Toc430872033"/>
      <w:r w:rsidRPr="00953A9C">
        <w:rPr>
          <w:color w:val="auto"/>
        </w:rPr>
        <w:t>Tabela 51. Wskaźniki planowane do osiągnięcia w obszarze</w:t>
      </w:r>
      <w:bookmarkEnd w:id="109"/>
    </w:p>
    <w:tbl>
      <w:tblPr>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shd w:val="clear" w:color="auto" w:fill="FFFFFF" w:themeFill="background1"/>
        <w:tblLook w:val="04A0" w:firstRow="1" w:lastRow="0" w:firstColumn="1" w:lastColumn="0" w:noHBand="0" w:noVBand="1"/>
      </w:tblPr>
      <w:tblGrid>
        <w:gridCol w:w="993"/>
        <w:gridCol w:w="567"/>
        <w:gridCol w:w="7585"/>
      </w:tblGrid>
      <w:tr w:rsidR="00567C3E" w:rsidRPr="00953A9C" w:rsidTr="00D32FA7">
        <w:tc>
          <w:tcPr>
            <w:tcW w:w="993" w:type="dxa"/>
            <w:tcBorders>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Fundusz</w:t>
            </w:r>
          </w:p>
        </w:tc>
        <w:tc>
          <w:tcPr>
            <w:tcW w:w="567" w:type="dxa"/>
            <w:tcBorders>
              <w:left w:val="single" w:sz="4" w:space="0" w:color="FFFFFF" w:themeColor="background1"/>
              <w:righ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PI</w:t>
            </w:r>
          </w:p>
        </w:tc>
        <w:tc>
          <w:tcPr>
            <w:tcW w:w="7585" w:type="dxa"/>
            <w:tcBorders>
              <w:left w:val="single" w:sz="4" w:space="0" w:color="FFFFFF" w:themeColor="background1"/>
            </w:tcBorders>
            <w:shd w:val="clear" w:color="auto" w:fill="824BB0"/>
            <w:vAlign w:val="center"/>
          </w:tcPr>
          <w:p w:rsidR="00567C3E" w:rsidRPr="00F84193" w:rsidRDefault="00567C3E" w:rsidP="00D32FA7">
            <w:pPr>
              <w:pStyle w:val="S1"/>
              <w:numPr>
                <w:ilvl w:val="0"/>
                <w:numId w:val="0"/>
              </w:numPr>
              <w:tabs>
                <w:tab w:val="left" w:pos="709"/>
              </w:tabs>
              <w:spacing w:after="0"/>
              <w:jc w:val="center"/>
              <w:rPr>
                <w:color w:val="FFFFFF" w:themeColor="background1"/>
                <w:sz w:val="20"/>
                <w:szCs w:val="20"/>
              </w:rPr>
            </w:pPr>
            <w:r w:rsidRPr="00F84193">
              <w:rPr>
                <w:color w:val="FFFFFF" w:themeColor="background1"/>
                <w:sz w:val="20"/>
                <w:szCs w:val="20"/>
              </w:rPr>
              <w:t>Wskaźniki planowane do osiągnięcia w obszarze</w:t>
            </w:r>
          </w:p>
        </w:tc>
      </w:tr>
      <w:tr w:rsidR="00567C3E" w:rsidRPr="006D6F25" w:rsidTr="00D32FA7">
        <w:tc>
          <w:tcPr>
            <w:tcW w:w="993"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EFRR</w:t>
            </w:r>
          </w:p>
        </w:tc>
        <w:tc>
          <w:tcPr>
            <w:tcW w:w="567" w:type="dxa"/>
            <w:shd w:val="clear" w:color="auto" w:fill="FFFFFF" w:themeFill="background1"/>
            <w:vAlign w:val="center"/>
          </w:tcPr>
          <w:p w:rsidR="00567C3E" w:rsidRPr="006D6F25" w:rsidRDefault="00567C3E" w:rsidP="00D32FA7">
            <w:pPr>
              <w:pStyle w:val="S1"/>
              <w:numPr>
                <w:ilvl w:val="0"/>
                <w:numId w:val="0"/>
              </w:numPr>
              <w:tabs>
                <w:tab w:val="left" w:pos="709"/>
              </w:tabs>
              <w:spacing w:after="0"/>
              <w:jc w:val="center"/>
              <w:rPr>
                <w:color w:val="auto"/>
                <w:sz w:val="20"/>
                <w:szCs w:val="20"/>
              </w:rPr>
            </w:pPr>
            <w:r w:rsidRPr="006D6F25">
              <w:rPr>
                <w:color w:val="auto"/>
                <w:sz w:val="20"/>
                <w:szCs w:val="20"/>
              </w:rPr>
              <w:t>4c</w:t>
            </w:r>
          </w:p>
        </w:tc>
        <w:tc>
          <w:tcPr>
            <w:tcW w:w="7585" w:type="dxa"/>
            <w:shd w:val="clear" w:color="auto" w:fill="FFFFFF" w:themeFill="background1"/>
            <w:vAlign w:val="center"/>
          </w:tcPr>
          <w:p w:rsidR="00567C3E" w:rsidRPr="006D6F25" w:rsidRDefault="00567C3E" w:rsidP="00E36E87">
            <w:pPr>
              <w:pStyle w:val="S1"/>
              <w:numPr>
                <w:ilvl w:val="0"/>
                <w:numId w:val="45"/>
              </w:numPr>
              <w:spacing w:before="40" w:after="40" w:line="240" w:lineRule="auto"/>
              <w:ind w:left="170" w:hanging="170"/>
              <w:rPr>
                <w:b w:val="0"/>
                <w:color w:val="auto"/>
                <w:sz w:val="20"/>
                <w:szCs w:val="20"/>
              </w:rPr>
            </w:pPr>
            <w:r w:rsidRPr="006D6F25">
              <w:rPr>
                <w:b w:val="0"/>
                <w:color w:val="auto"/>
                <w:sz w:val="20"/>
                <w:szCs w:val="20"/>
              </w:rPr>
              <w:t xml:space="preserve">Liczba zmodernizowanych energetycznie </w:t>
            </w:r>
            <w:r w:rsidR="0031428D">
              <w:rPr>
                <w:b w:val="0"/>
                <w:color w:val="auto"/>
                <w:sz w:val="20"/>
                <w:szCs w:val="20"/>
              </w:rPr>
              <w:t>budynków – 26</w:t>
            </w:r>
            <w:r w:rsidRPr="006D6F25">
              <w:rPr>
                <w:b w:val="0"/>
                <w:color w:val="auto"/>
                <w:sz w:val="20"/>
                <w:szCs w:val="20"/>
              </w:rPr>
              <w:t xml:space="preserve"> szt.</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4e</w:t>
            </w:r>
          </w:p>
        </w:tc>
        <w:tc>
          <w:tcPr>
            <w:tcW w:w="7585" w:type="dxa"/>
            <w:shd w:val="clear" w:color="auto" w:fill="FFFFFF" w:themeFill="background1"/>
            <w:vAlign w:val="center"/>
          </w:tcPr>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Długość wybudo</w:t>
            </w:r>
            <w:r w:rsidR="00267556" w:rsidRPr="005777F8">
              <w:rPr>
                <w:rFonts w:ascii="Garamond" w:hAnsi="Garamond" w:cs="Arial"/>
                <w:color w:val="000000" w:themeColor="text1"/>
                <w:sz w:val="20"/>
                <w:szCs w:val="20"/>
              </w:rPr>
              <w:t>wanych ścieżek rowerowych – 6,65</w:t>
            </w:r>
            <w:r w:rsidRPr="005777F8">
              <w:rPr>
                <w:rFonts w:ascii="Garamond" w:hAnsi="Garamond" w:cs="Arial"/>
                <w:color w:val="000000" w:themeColor="text1"/>
                <w:sz w:val="20"/>
                <w:szCs w:val="20"/>
              </w:rPr>
              <w:t xml:space="preserve"> km</w:t>
            </w:r>
          </w:p>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 xml:space="preserve">Liczba zakupionych </w:t>
            </w:r>
            <w:proofErr w:type="spellStart"/>
            <w:r w:rsidRPr="005777F8">
              <w:rPr>
                <w:rFonts w:ascii="Garamond" w:hAnsi="Garamond" w:cs="Arial"/>
                <w:color w:val="000000" w:themeColor="text1"/>
                <w:sz w:val="20"/>
                <w:szCs w:val="20"/>
              </w:rPr>
              <w:t>parkomatów</w:t>
            </w:r>
            <w:proofErr w:type="spellEnd"/>
            <w:r w:rsidRPr="005777F8">
              <w:rPr>
                <w:rFonts w:ascii="Garamond" w:hAnsi="Garamond" w:cs="Arial"/>
                <w:color w:val="000000" w:themeColor="text1"/>
                <w:sz w:val="20"/>
                <w:szCs w:val="20"/>
              </w:rPr>
              <w:t xml:space="preserve"> – 20 szt.</w:t>
            </w:r>
          </w:p>
          <w:p w:rsidR="00567C3E" w:rsidRPr="005777F8" w:rsidRDefault="00567C3E" w:rsidP="00E36E87">
            <w:pPr>
              <w:pStyle w:val="Akapitzlist"/>
              <w:numPr>
                <w:ilvl w:val="0"/>
                <w:numId w:val="103"/>
              </w:numPr>
              <w:spacing w:after="0"/>
              <w:ind w:left="170" w:hanging="170"/>
              <w:jc w:val="both"/>
              <w:rPr>
                <w:rFonts w:ascii="Garamond" w:hAnsi="Garamond" w:cs="Arial"/>
                <w:color w:val="000000" w:themeColor="text1"/>
                <w:sz w:val="20"/>
                <w:szCs w:val="20"/>
              </w:rPr>
            </w:pPr>
            <w:r w:rsidRPr="005777F8">
              <w:rPr>
                <w:rFonts w:ascii="Garamond" w:hAnsi="Garamond" w:cs="Arial"/>
                <w:color w:val="000000" w:themeColor="text1"/>
                <w:sz w:val="20"/>
                <w:szCs w:val="20"/>
              </w:rPr>
              <w:t>Liczba zakupionych elektronicznych  tablic informacyjnych – 2 szt.</w:t>
            </w:r>
          </w:p>
          <w:p w:rsidR="00567C3E" w:rsidRPr="005777F8" w:rsidRDefault="00567C3E" w:rsidP="00E36E87">
            <w:pPr>
              <w:pStyle w:val="S1"/>
              <w:numPr>
                <w:ilvl w:val="0"/>
                <w:numId w:val="45"/>
              </w:numPr>
              <w:spacing w:before="40" w:after="40" w:line="240" w:lineRule="auto"/>
              <w:ind w:left="170" w:hanging="170"/>
              <w:rPr>
                <w:b w:val="0"/>
                <w:color w:val="000000" w:themeColor="text1"/>
                <w:sz w:val="20"/>
                <w:szCs w:val="20"/>
              </w:rPr>
            </w:pPr>
            <w:r w:rsidRPr="005777F8">
              <w:rPr>
                <w:rFonts w:cs="Arial"/>
                <w:b w:val="0"/>
                <w:color w:val="000000" w:themeColor="text1"/>
                <w:sz w:val="20"/>
                <w:szCs w:val="20"/>
              </w:rPr>
              <w:t>Przyrost liczby osób korzystających z komunikacji miejskiej – 190 000 osób</w:t>
            </w:r>
          </w:p>
          <w:p w:rsidR="00567C3E" w:rsidRPr="005777F8" w:rsidRDefault="00567C3E" w:rsidP="00E36E87">
            <w:pPr>
              <w:pStyle w:val="S1"/>
              <w:numPr>
                <w:ilvl w:val="0"/>
                <w:numId w:val="45"/>
              </w:numPr>
              <w:spacing w:before="40" w:after="40" w:line="240" w:lineRule="auto"/>
              <w:ind w:left="170" w:hanging="170"/>
              <w:rPr>
                <w:b w:val="0"/>
                <w:color w:val="000000" w:themeColor="text1"/>
                <w:sz w:val="20"/>
                <w:szCs w:val="20"/>
              </w:rPr>
            </w:pPr>
            <w:r w:rsidRPr="005777F8">
              <w:rPr>
                <w:rFonts w:cs="Arial"/>
                <w:b w:val="0"/>
                <w:color w:val="000000" w:themeColor="text1"/>
                <w:sz w:val="20"/>
                <w:szCs w:val="20"/>
              </w:rPr>
              <w:t xml:space="preserve">Szacowany roczny spadek emisji gazów cieplarnianych- 89,24 Mg/rok </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6c</w:t>
            </w:r>
          </w:p>
        </w:tc>
        <w:tc>
          <w:tcPr>
            <w:tcW w:w="7585" w:type="dxa"/>
            <w:shd w:val="clear" w:color="auto" w:fill="FFFFFF" w:themeFill="background1"/>
          </w:tcPr>
          <w:p w:rsidR="00567C3E" w:rsidRPr="005777F8" w:rsidRDefault="00567C3E" w:rsidP="00E36E87">
            <w:pPr>
              <w:pStyle w:val="S1"/>
              <w:numPr>
                <w:ilvl w:val="0"/>
                <w:numId w:val="114"/>
              </w:numPr>
              <w:spacing w:before="40" w:after="40" w:line="240" w:lineRule="auto"/>
              <w:ind w:left="170" w:hanging="170"/>
              <w:rPr>
                <w:b w:val="0"/>
                <w:color w:val="000000" w:themeColor="text1"/>
                <w:sz w:val="20"/>
                <w:szCs w:val="20"/>
              </w:rPr>
            </w:pPr>
            <w:r w:rsidRPr="005777F8">
              <w:rPr>
                <w:b w:val="0"/>
                <w:color w:val="000000" w:themeColor="text1"/>
                <w:sz w:val="20"/>
                <w:szCs w:val="20"/>
              </w:rPr>
              <w:t>Liczba instytucji kultury objętych wsparciem – 0 szt.</w:t>
            </w:r>
          </w:p>
          <w:p w:rsidR="00567C3E" w:rsidRPr="005777F8" w:rsidRDefault="00567C3E" w:rsidP="00E36E87">
            <w:pPr>
              <w:pStyle w:val="S1"/>
              <w:numPr>
                <w:ilvl w:val="0"/>
                <w:numId w:val="114"/>
              </w:numPr>
              <w:spacing w:before="40" w:after="40" w:line="240" w:lineRule="auto"/>
              <w:ind w:left="170" w:hanging="170"/>
              <w:rPr>
                <w:b w:val="0"/>
                <w:color w:val="000000" w:themeColor="text1"/>
                <w:sz w:val="20"/>
                <w:szCs w:val="20"/>
              </w:rPr>
            </w:pPr>
            <w:r w:rsidRPr="005777F8">
              <w:rPr>
                <w:b w:val="0"/>
                <w:color w:val="000000" w:themeColor="text1"/>
                <w:sz w:val="20"/>
                <w:szCs w:val="20"/>
              </w:rPr>
              <w:t>Liczba zabytków nieruchomych objętych wsparciem</w:t>
            </w:r>
            <w:r w:rsidR="00267556" w:rsidRPr="005777F8">
              <w:rPr>
                <w:b w:val="0"/>
                <w:color w:val="000000" w:themeColor="text1"/>
                <w:sz w:val="20"/>
                <w:szCs w:val="20"/>
              </w:rPr>
              <w:t xml:space="preserve"> – 5</w:t>
            </w:r>
            <w:r w:rsidRPr="005777F8">
              <w:rPr>
                <w:b w:val="0"/>
                <w:color w:val="000000" w:themeColor="text1"/>
                <w:sz w:val="20"/>
                <w:szCs w:val="20"/>
              </w:rPr>
              <w:t xml:space="preserve"> szt. </w:t>
            </w:r>
          </w:p>
        </w:tc>
      </w:tr>
      <w:tr w:rsidR="00567C3E" w:rsidRPr="005777F8" w:rsidTr="00D32FA7">
        <w:trPr>
          <w:trHeight w:val="817"/>
        </w:trPr>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9b</w:t>
            </w:r>
          </w:p>
        </w:tc>
        <w:tc>
          <w:tcPr>
            <w:tcW w:w="7585" w:type="dxa"/>
            <w:shd w:val="clear" w:color="auto" w:fill="FFFFFF" w:themeFill="background1"/>
            <w:vAlign w:val="center"/>
          </w:tcPr>
          <w:p w:rsidR="00567C3E" w:rsidRPr="005777F8" w:rsidRDefault="00567C3E" w:rsidP="00E36E87">
            <w:pPr>
              <w:pStyle w:val="Akapitzlist"/>
              <w:numPr>
                <w:ilvl w:val="0"/>
                <w:numId w:val="129"/>
              </w:numPr>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Otwarta przestrzeń otworzona lub rekultywowana na obszarach miejskich – 53 745 m2</w:t>
            </w:r>
          </w:p>
          <w:p w:rsidR="00567C3E" w:rsidRPr="005777F8" w:rsidRDefault="00567C3E" w:rsidP="00E36E87">
            <w:pPr>
              <w:pStyle w:val="Akapitzlist"/>
              <w:numPr>
                <w:ilvl w:val="0"/>
                <w:numId w:val="129"/>
              </w:numPr>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objętych projektem – 510 osób</w:t>
            </w:r>
          </w:p>
          <w:p w:rsidR="00567C3E" w:rsidRPr="005777F8" w:rsidRDefault="00567C3E" w:rsidP="00E36E87">
            <w:pPr>
              <w:pStyle w:val="Akapitzlist"/>
              <w:numPr>
                <w:ilvl w:val="0"/>
                <w:numId w:val="129"/>
              </w:numPr>
              <w:spacing w:after="0"/>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obiektów infrastruktury zlokalizowanych na rewitalizowanych obszarach – 5 szt.</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EFRR</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10a</w:t>
            </w:r>
          </w:p>
        </w:tc>
        <w:tc>
          <w:tcPr>
            <w:tcW w:w="7585" w:type="dxa"/>
            <w:shd w:val="clear" w:color="auto" w:fill="FFFFFF" w:themeFill="background1"/>
            <w:vAlign w:val="center"/>
          </w:tcPr>
          <w:p w:rsidR="00567C3E" w:rsidRPr="005777F8" w:rsidRDefault="00567C3E" w:rsidP="00E36E87">
            <w:pPr>
              <w:pStyle w:val="S1"/>
              <w:numPr>
                <w:ilvl w:val="0"/>
                <w:numId w:val="119"/>
              </w:numPr>
              <w:spacing w:before="40" w:after="40" w:line="240" w:lineRule="auto"/>
              <w:ind w:left="170" w:hanging="170"/>
              <w:rPr>
                <w:b w:val="0"/>
                <w:color w:val="000000" w:themeColor="text1"/>
                <w:sz w:val="20"/>
                <w:szCs w:val="20"/>
              </w:rPr>
            </w:pPr>
            <w:r w:rsidRPr="005777F8">
              <w:rPr>
                <w:b w:val="0"/>
                <w:color w:val="000000" w:themeColor="text1"/>
                <w:sz w:val="20"/>
                <w:szCs w:val="20"/>
              </w:rPr>
              <w:t>Liczba miejsc w infrastruktu</w:t>
            </w:r>
            <w:r w:rsidR="00267556" w:rsidRPr="005777F8">
              <w:rPr>
                <w:b w:val="0"/>
                <w:color w:val="000000" w:themeColor="text1"/>
                <w:sz w:val="20"/>
                <w:szCs w:val="20"/>
              </w:rPr>
              <w:t xml:space="preserve">rze kształcenia zawodowego – 200 </w:t>
            </w:r>
            <w:r w:rsidRPr="005777F8">
              <w:rPr>
                <w:b w:val="0"/>
                <w:color w:val="000000" w:themeColor="text1"/>
                <w:sz w:val="20"/>
                <w:szCs w:val="20"/>
              </w:rPr>
              <w:t>osób</w:t>
            </w:r>
          </w:p>
          <w:p w:rsidR="00567C3E" w:rsidRPr="005777F8" w:rsidRDefault="00567C3E" w:rsidP="00E36E87">
            <w:pPr>
              <w:pStyle w:val="S1"/>
              <w:numPr>
                <w:ilvl w:val="0"/>
                <w:numId w:val="119"/>
              </w:numPr>
              <w:spacing w:before="40" w:after="40" w:line="240" w:lineRule="auto"/>
              <w:ind w:left="170" w:hanging="170"/>
              <w:rPr>
                <w:b w:val="0"/>
                <w:color w:val="000000" w:themeColor="text1"/>
                <w:sz w:val="20"/>
                <w:szCs w:val="20"/>
              </w:rPr>
            </w:pPr>
            <w:r w:rsidRPr="005777F8">
              <w:rPr>
                <w:b w:val="0"/>
                <w:color w:val="000000" w:themeColor="text1"/>
                <w:sz w:val="20"/>
                <w:szCs w:val="20"/>
              </w:rPr>
              <w:t>Liczba obiektów infrastruktury jednostek orga</w:t>
            </w:r>
            <w:r w:rsidR="00B02492" w:rsidRPr="005777F8">
              <w:rPr>
                <w:b w:val="0"/>
                <w:color w:val="000000" w:themeColor="text1"/>
                <w:sz w:val="20"/>
                <w:szCs w:val="20"/>
              </w:rPr>
              <w:t xml:space="preserve">nizacyjnych systemu oświaty </w:t>
            </w:r>
            <w:r w:rsidR="00267556" w:rsidRPr="005777F8">
              <w:rPr>
                <w:b w:val="0"/>
                <w:color w:val="000000" w:themeColor="text1"/>
                <w:sz w:val="20"/>
                <w:szCs w:val="20"/>
              </w:rPr>
              <w:t>– 6</w:t>
            </w:r>
            <w:r w:rsidRPr="005777F8">
              <w:rPr>
                <w:b w:val="0"/>
                <w:color w:val="000000" w:themeColor="text1"/>
                <w:sz w:val="20"/>
                <w:szCs w:val="20"/>
              </w:rPr>
              <w:t xml:space="preserve">szt. </w:t>
            </w:r>
          </w:p>
          <w:p w:rsidR="00567C3E" w:rsidRPr="005777F8" w:rsidRDefault="00567C3E" w:rsidP="00E36E87">
            <w:pPr>
              <w:pStyle w:val="S1"/>
              <w:numPr>
                <w:ilvl w:val="0"/>
                <w:numId w:val="120"/>
              </w:numPr>
              <w:spacing w:before="40" w:after="40" w:line="240" w:lineRule="auto"/>
              <w:ind w:left="170" w:hanging="170"/>
              <w:rPr>
                <w:b w:val="0"/>
                <w:color w:val="000000" w:themeColor="text1"/>
                <w:sz w:val="20"/>
                <w:szCs w:val="20"/>
              </w:rPr>
            </w:pPr>
            <w:r w:rsidRPr="005777F8">
              <w:rPr>
                <w:b w:val="0"/>
                <w:color w:val="000000" w:themeColor="text1"/>
                <w:sz w:val="20"/>
                <w:szCs w:val="20"/>
              </w:rPr>
              <w:t>Odsetek dzieci w wieku 3-4 lata objętyc</w:t>
            </w:r>
            <w:r w:rsidR="00B02492" w:rsidRPr="005777F8">
              <w:rPr>
                <w:b w:val="0"/>
                <w:color w:val="000000" w:themeColor="text1"/>
                <w:sz w:val="20"/>
                <w:szCs w:val="20"/>
              </w:rPr>
              <w:t xml:space="preserve">h </w:t>
            </w:r>
            <w:r w:rsidR="00267556" w:rsidRPr="005777F8">
              <w:rPr>
                <w:b w:val="0"/>
                <w:color w:val="000000" w:themeColor="text1"/>
                <w:sz w:val="20"/>
                <w:szCs w:val="20"/>
              </w:rPr>
              <w:t>wychowaniem przedszkolnym – 36,67</w:t>
            </w:r>
            <w:r w:rsidRPr="005777F8">
              <w:rPr>
                <w:b w:val="0"/>
                <w:color w:val="000000" w:themeColor="text1"/>
                <w:sz w:val="20"/>
                <w:szCs w:val="20"/>
              </w:rPr>
              <w:t xml:space="preserve">% </w:t>
            </w:r>
          </w:p>
          <w:p w:rsidR="00567C3E" w:rsidRPr="005777F8" w:rsidRDefault="00567C3E" w:rsidP="00E36E87">
            <w:pPr>
              <w:pStyle w:val="S1"/>
              <w:numPr>
                <w:ilvl w:val="0"/>
                <w:numId w:val="120"/>
              </w:numPr>
              <w:spacing w:before="40" w:after="40" w:line="240" w:lineRule="auto"/>
              <w:ind w:left="170" w:hanging="170"/>
              <w:rPr>
                <w:b w:val="0"/>
                <w:color w:val="000000" w:themeColor="text1"/>
                <w:sz w:val="20"/>
                <w:szCs w:val="20"/>
              </w:rPr>
            </w:pPr>
            <w:r w:rsidRPr="005777F8">
              <w:rPr>
                <w:b w:val="0"/>
                <w:color w:val="000000" w:themeColor="text1"/>
                <w:sz w:val="20"/>
                <w:szCs w:val="20"/>
              </w:rPr>
              <w:t xml:space="preserve">Liczba miejsc w infrastrukturze przedszkolnej – </w:t>
            </w:r>
            <w:r w:rsidR="00267556" w:rsidRPr="005777F8">
              <w:rPr>
                <w:b w:val="0"/>
                <w:color w:val="000000" w:themeColor="text1"/>
                <w:sz w:val="20"/>
                <w:szCs w:val="20"/>
              </w:rPr>
              <w:t>125</w:t>
            </w:r>
            <w:r w:rsidRPr="005777F8">
              <w:rPr>
                <w:b w:val="0"/>
                <w:color w:val="000000" w:themeColor="text1"/>
                <w:sz w:val="20"/>
                <w:szCs w:val="20"/>
              </w:rPr>
              <w:t xml:space="preserve"> osób</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9i</w:t>
            </w:r>
          </w:p>
        </w:tc>
        <w:tc>
          <w:tcPr>
            <w:tcW w:w="7585" w:type="dxa"/>
            <w:shd w:val="clear" w:color="auto" w:fill="FFFFFF" w:themeFill="background1"/>
            <w:vAlign w:val="center"/>
          </w:tcPr>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które uzyskały kwalifikacj</w:t>
            </w:r>
            <w:r w:rsidR="00267556" w:rsidRPr="005777F8">
              <w:rPr>
                <w:rFonts w:ascii="Garamond" w:hAnsi="Garamond"/>
                <w:color w:val="000000" w:themeColor="text1"/>
                <w:sz w:val="20"/>
                <w:szCs w:val="20"/>
              </w:rPr>
              <w:t>e po opuszczeniu programu – 303</w:t>
            </w:r>
            <w:r w:rsidR="00B02492"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 xml:space="preserve">osób </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poszukujących p</w:t>
            </w:r>
            <w:r w:rsidR="00B02492" w:rsidRPr="005777F8">
              <w:rPr>
                <w:rFonts w:ascii="Garamond" w:hAnsi="Garamond"/>
                <w:color w:val="000000" w:themeColor="text1"/>
                <w:sz w:val="20"/>
                <w:szCs w:val="20"/>
              </w:rPr>
              <w:t>r</w:t>
            </w:r>
            <w:r w:rsidR="00267556" w:rsidRPr="005777F8">
              <w:rPr>
                <w:rFonts w:ascii="Garamond" w:hAnsi="Garamond"/>
                <w:color w:val="000000" w:themeColor="text1"/>
                <w:sz w:val="20"/>
                <w:szCs w:val="20"/>
              </w:rPr>
              <w:t>acy po opuszczeniu programu –197</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pracujących po opuszczeniu programu (łącznie z prac</w:t>
            </w:r>
            <w:r w:rsidR="00267556" w:rsidRPr="005777F8">
              <w:rPr>
                <w:rFonts w:ascii="Garamond" w:hAnsi="Garamond"/>
                <w:color w:val="000000" w:themeColor="text1"/>
                <w:sz w:val="20"/>
                <w:szCs w:val="20"/>
              </w:rPr>
              <w:t>ującymi na własny rachunek) – 43</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5"/>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osób zagrożonych ubóstwem lub wykluczeniem społecznym obję</w:t>
            </w:r>
            <w:r w:rsidR="00267556" w:rsidRPr="005777F8">
              <w:rPr>
                <w:rFonts w:ascii="Garamond" w:hAnsi="Garamond"/>
                <w:color w:val="000000" w:themeColor="text1"/>
                <w:sz w:val="20"/>
                <w:szCs w:val="20"/>
              </w:rPr>
              <w:t xml:space="preserve">tych wsparciem w programie – 491 </w:t>
            </w:r>
            <w:r w:rsidRPr="005777F8">
              <w:rPr>
                <w:rFonts w:ascii="Garamond" w:hAnsi="Garamond"/>
                <w:color w:val="000000" w:themeColor="text1"/>
                <w:sz w:val="20"/>
                <w:szCs w:val="20"/>
              </w:rPr>
              <w:t xml:space="preserve">osób </w:t>
            </w:r>
          </w:p>
          <w:p w:rsidR="00567C3E" w:rsidRPr="005777F8" w:rsidRDefault="00567C3E" w:rsidP="00E36E87">
            <w:pPr>
              <w:pStyle w:val="Akapitzlist"/>
              <w:numPr>
                <w:ilvl w:val="0"/>
                <w:numId w:val="125"/>
              </w:numPr>
              <w:spacing w:after="0" w:line="23" w:lineRule="atLeast"/>
              <w:ind w:left="170" w:hanging="170"/>
              <w:jc w:val="both"/>
              <w:rPr>
                <w:rFonts w:ascii="Garamond" w:hAnsi="Garamond"/>
                <w:b/>
                <w:color w:val="000000" w:themeColor="text1"/>
                <w:sz w:val="20"/>
                <w:szCs w:val="20"/>
              </w:rPr>
            </w:pPr>
            <w:r w:rsidRPr="005777F8">
              <w:rPr>
                <w:rFonts w:ascii="Garamond" w:hAnsi="Garamond"/>
                <w:color w:val="000000" w:themeColor="text1"/>
                <w:sz w:val="20"/>
                <w:szCs w:val="20"/>
              </w:rPr>
              <w:t>Liczba osób z niepełnosprawnościami obj</w:t>
            </w:r>
            <w:r w:rsidR="00B02492" w:rsidRPr="005777F8">
              <w:rPr>
                <w:rFonts w:ascii="Garamond" w:hAnsi="Garamond"/>
                <w:color w:val="000000" w:themeColor="text1"/>
                <w:sz w:val="20"/>
                <w:szCs w:val="20"/>
              </w:rPr>
              <w:t>ętych wsparci</w:t>
            </w:r>
            <w:r w:rsidR="00267556" w:rsidRPr="005777F8">
              <w:rPr>
                <w:rFonts w:ascii="Garamond" w:hAnsi="Garamond"/>
                <w:color w:val="000000" w:themeColor="text1"/>
                <w:sz w:val="20"/>
                <w:szCs w:val="20"/>
              </w:rPr>
              <w:t xml:space="preserve">em w programie – 53 </w:t>
            </w:r>
            <w:r w:rsidRPr="005777F8">
              <w:rPr>
                <w:rFonts w:ascii="Garamond" w:hAnsi="Garamond"/>
                <w:color w:val="000000" w:themeColor="text1"/>
                <w:sz w:val="20"/>
                <w:szCs w:val="20"/>
              </w:rPr>
              <w:t>osób</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9iv</w:t>
            </w:r>
          </w:p>
        </w:tc>
        <w:tc>
          <w:tcPr>
            <w:tcW w:w="7585" w:type="dxa"/>
            <w:shd w:val="clear" w:color="auto" w:fill="FFFFFF" w:themeFill="background1"/>
            <w:vAlign w:val="center"/>
          </w:tcPr>
          <w:p w:rsidR="00567C3E" w:rsidRPr="005777F8" w:rsidRDefault="00567C3E" w:rsidP="00E36E87">
            <w:pPr>
              <w:pStyle w:val="Akapitzlist"/>
              <w:numPr>
                <w:ilvl w:val="0"/>
                <w:numId w:val="124"/>
              </w:numPr>
              <w:spacing w:after="0" w:line="23" w:lineRule="atLeast"/>
              <w:ind w:left="170" w:hanging="170"/>
              <w:jc w:val="both"/>
              <w:rPr>
                <w:rFonts w:ascii="Garamond" w:hAnsi="Garamond" w:cs="Calibri"/>
                <w:color w:val="000000" w:themeColor="text1"/>
                <w:sz w:val="20"/>
                <w:szCs w:val="20"/>
              </w:rPr>
            </w:pPr>
            <w:r w:rsidRPr="005777F8">
              <w:rPr>
                <w:rFonts w:ascii="Garamond" w:hAnsi="Garamond"/>
                <w:color w:val="000000" w:themeColor="text1"/>
                <w:sz w:val="20"/>
                <w:szCs w:val="20"/>
              </w:rPr>
              <w:t>Liczba osób zagrożonych ubóstwem lub wykluczeniem społecznym objętych usługami społecznymi świadczonymi w in</w:t>
            </w:r>
            <w:r w:rsidR="00B02492" w:rsidRPr="005777F8">
              <w:rPr>
                <w:rFonts w:ascii="Garamond" w:hAnsi="Garamond"/>
                <w:color w:val="000000" w:themeColor="text1"/>
                <w:sz w:val="20"/>
                <w:szCs w:val="20"/>
              </w:rPr>
              <w:t>teresie ogólnym w programie – 15</w:t>
            </w:r>
            <w:r w:rsidRPr="005777F8">
              <w:rPr>
                <w:rFonts w:ascii="Garamond" w:hAnsi="Garamond"/>
                <w:color w:val="000000" w:themeColor="text1"/>
                <w:sz w:val="20"/>
                <w:szCs w:val="20"/>
              </w:rPr>
              <w:t xml:space="preserve"> osoby </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10i</w:t>
            </w:r>
          </w:p>
        </w:tc>
        <w:tc>
          <w:tcPr>
            <w:tcW w:w="7585" w:type="dxa"/>
            <w:shd w:val="clear" w:color="auto" w:fill="FFFFFF" w:themeFill="background1"/>
            <w:vAlign w:val="center"/>
          </w:tcPr>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 xml:space="preserve">Liczba uczniów, którzy nabyli kompetencje kluczowe po opuszczeniu programu – </w:t>
            </w:r>
            <w:r w:rsidR="00267556" w:rsidRPr="005777F8">
              <w:rPr>
                <w:rFonts w:ascii="Garamond" w:hAnsi="Garamond"/>
                <w:color w:val="000000" w:themeColor="text1"/>
                <w:sz w:val="20"/>
                <w:szCs w:val="20"/>
              </w:rPr>
              <w:t>5217</w:t>
            </w:r>
            <w:r w:rsidRPr="005777F8">
              <w:rPr>
                <w:rFonts w:ascii="Garamond" w:hAnsi="Garamond"/>
                <w:color w:val="000000" w:themeColor="text1"/>
                <w:sz w:val="20"/>
                <w:szCs w:val="20"/>
              </w:rPr>
              <w:t xml:space="preserve"> osób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którzy uzyskali kwalifikacje lub nabyli kompetenc</w:t>
            </w:r>
            <w:r w:rsidR="00B02492" w:rsidRPr="005777F8">
              <w:rPr>
                <w:rFonts w:ascii="Garamond" w:hAnsi="Garamond"/>
                <w:color w:val="000000" w:themeColor="text1"/>
                <w:sz w:val="20"/>
                <w:szCs w:val="20"/>
              </w:rPr>
              <w:t xml:space="preserve">je po opuszczeniu programu – </w:t>
            </w:r>
            <w:r w:rsidR="00267556" w:rsidRPr="005777F8">
              <w:rPr>
                <w:rFonts w:ascii="Garamond" w:hAnsi="Garamond"/>
                <w:color w:val="000000" w:themeColor="text1"/>
                <w:sz w:val="20"/>
                <w:szCs w:val="20"/>
              </w:rPr>
              <w:t>154</w:t>
            </w:r>
            <w:r w:rsidRPr="005777F8">
              <w:rPr>
                <w:rFonts w:ascii="Garamond" w:hAnsi="Garamond"/>
                <w:color w:val="000000" w:themeColor="text1"/>
                <w:sz w:val="20"/>
                <w:szCs w:val="20"/>
              </w:rPr>
              <w:t xml:space="preserve"> osób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systemu oświaty wykorzystujących sprzęt TIK do prow</w:t>
            </w:r>
            <w:r w:rsidR="00267556" w:rsidRPr="005777F8">
              <w:rPr>
                <w:rFonts w:ascii="Garamond" w:hAnsi="Garamond"/>
                <w:color w:val="000000" w:themeColor="text1"/>
                <w:sz w:val="20"/>
                <w:szCs w:val="20"/>
              </w:rPr>
              <w:t>adzenia zajęć edukacyjnych – 15</w:t>
            </w:r>
            <w:r w:rsidR="00B02492"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w których pracownie przedmiotowe wykorzystują doposażenie do pro</w:t>
            </w:r>
            <w:r w:rsidR="00267556" w:rsidRPr="005777F8">
              <w:rPr>
                <w:rFonts w:ascii="Garamond" w:hAnsi="Garamond"/>
                <w:color w:val="000000" w:themeColor="text1"/>
                <w:sz w:val="20"/>
                <w:szCs w:val="20"/>
              </w:rPr>
              <w:t>wadzenia zajęć edukacyjnych – 19</w:t>
            </w:r>
            <w:r w:rsidRPr="005777F8">
              <w:rPr>
                <w:rFonts w:ascii="Garamond" w:hAnsi="Garamond"/>
                <w:color w:val="000000" w:themeColor="text1"/>
                <w:sz w:val="20"/>
                <w:szCs w:val="20"/>
              </w:rPr>
              <w:t xml:space="preserve"> 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objętych wsparciem w zakr</w:t>
            </w:r>
            <w:r w:rsidR="00267556" w:rsidRPr="005777F8">
              <w:rPr>
                <w:rFonts w:ascii="Garamond" w:hAnsi="Garamond"/>
                <w:color w:val="000000" w:themeColor="text1"/>
                <w:sz w:val="20"/>
                <w:szCs w:val="20"/>
              </w:rPr>
              <w:t>esie TIK w ramach programu – 143</w:t>
            </w:r>
            <w:r w:rsidR="00A737EC"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osób</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objętyc</w:t>
            </w:r>
            <w:r w:rsidR="00267556" w:rsidRPr="005777F8">
              <w:rPr>
                <w:rFonts w:ascii="Garamond" w:hAnsi="Garamond"/>
                <w:color w:val="000000" w:themeColor="text1"/>
                <w:sz w:val="20"/>
                <w:szCs w:val="20"/>
              </w:rPr>
              <w:t xml:space="preserve">h wsparciem w programie – 203 </w:t>
            </w:r>
            <w:r w:rsidRPr="005777F8">
              <w:rPr>
                <w:rFonts w:ascii="Garamond" w:hAnsi="Garamond"/>
                <w:color w:val="000000" w:themeColor="text1"/>
                <w:sz w:val="20"/>
                <w:szCs w:val="20"/>
              </w:rPr>
              <w:t xml:space="preserve">osoby </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objętych wsparciem w zakresie rozwijania kompetencji</w:t>
            </w:r>
            <w:r w:rsidR="00267556" w:rsidRPr="005777F8">
              <w:rPr>
                <w:rFonts w:ascii="Garamond" w:hAnsi="Garamond"/>
                <w:color w:val="000000" w:themeColor="text1"/>
                <w:sz w:val="20"/>
                <w:szCs w:val="20"/>
              </w:rPr>
              <w:t xml:space="preserve"> kluczowych w programie – 5 951</w:t>
            </w:r>
            <w:r w:rsidRPr="005777F8">
              <w:rPr>
                <w:rFonts w:ascii="Garamond" w:hAnsi="Garamond"/>
                <w:color w:val="000000" w:themeColor="text1"/>
                <w:sz w:val="20"/>
                <w:szCs w:val="20"/>
              </w:rPr>
              <w:t xml:space="preserve"> osoby</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systemu oświaty wyposażonych w ramach programu w sprzęt TIK do prowadzenia zajęć edukacyj</w:t>
            </w:r>
            <w:r w:rsidR="00267556" w:rsidRPr="005777F8">
              <w:rPr>
                <w:rFonts w:ascii="Garamond" w:hAnsi="Garamond"/>
                <w:color w:val="000000" w:themeColor="text1"/>
                <w:sz w:val="20"/>
                <w:szCs w:val="20"/>
              </w:rPr>
              <w:t xml:space="preserve">nych – 19 </w:t>
            </w:r>
            <w:r w:rsidRPr="005777F8">
              <w:rPr>
                <w:rFonts w:ascii="Garamond" w:hAnsi="Garamond"/>
                <w:color w:val="000000" w:themeColor="text1"/>
                <w:sz w:val="20"/>
                <w:szCs w:val="20"/>
              </w:rPr>
              <w:t>szt.</w:t>
            </w:r>
          </w:p>
          <w:p w:rsidR="00567C3E" w:rsidRPr="005777F8" w:rsidRDefault="00567C3E"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których pracownie przedmiotowe zost</w:t>
            </w:r>
            <w:r w:rsidR="00267556" w:rsidRPr="005777F8">
              <w:rPr>
                <w:rFonts w:ascii="Garamond" w:hAnsi="Garamond"/>
                <w:color w:val="000000" w:themeColor="text1"/>
                <w:sz w:val="20"/>
                <w:szCs w:val="20"/>
              </w:rPr>
              <w:t>ały doposażone w programie – 16</w:t>
            </w:r>
            <w:r w:rsidR="00A737EC" w:rsidRPr="005777F8">
              <w:rPr>
                <w:rFonts w:ascii="Garamond" w:hAnsi="Garamond"/>
                <w:color w:val="000000" w:themeColor="text1"/>
                <w:sz w:val="20"/>
                <w:szCs w:val="20"/>
              </w:rPr>
              <w:t xml:space="preserve"> </w:t>
            </w:r>
            <w:r w:rsidRPr="005777F8">
              <w:rPr>
                <w:rFonts w:ascii="Garamond" w:hAnsi="Garamond"/>
                <w:color w:val="000000" w:themeColor="text1"/>
                <w:sz w:val="20"/>
                <w:szCs w:val="20"/>
              </w:rPr>
              <w:t>szt.</w:t>
            </w:r>
          </w:p>
          <w:p w:rsidR="00A737EC" w:rsidRPr="005777F8" w:rsidRDefault="00A737EC" w:rsidP="00A737EC">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dzieci objętych w ramach programu dodatkowymi zajęciami zwiększającymi ich szanse edukacyjn</w:t>
            </w:r>
            <w:r w:rsidR="00267556" w:rsidRPr="005777F8">
              <w:rPr>
                <w:rFonts w:ascii="Garamond" w:hAnsi="Garamond"/>
                <w:color w:val="000000" w:themeColor="text1"/>
                <w:sz w:val="20"/>
                <w:szCs w:val="20"/>
              </w:rPr>
              <w:t>e w edukacji przedszkolnej – 344</w:t>
            </w:r>
            <w:r w:rsidRPr="005777F8">
              <w:rPr>
                <w:rFonts w:ascii="Garamond" w:hAnsi="Garamond"/>
                <w:color w:val="000000" w:themeColor="text1"/>
                <w:sz w:val="20"/>
                <w:szCs w:val="20"/>
              </w:rPr>
              <w:t xml:space="preserve"> osób</w:t>
            </w:r>
          </w:p>
          <w:p w:rsidR="00A737EC" w:rsidRPr="005777F8" w:rsidRDefault="00A737EC"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miejsc wychowania przedszkolnego d</w:t>
            </w:r>
            <w:r w:rsidR="00267556" w:rsidRPr="005777F8">
              <w:rPr>
                <w:rFonts w:ascii="Garamond" w:hAnsi="Garamond"/>
                <w:color w:val="000000" w:themeColor="text1"/>
                <w:sz w:val="20"/>
                <w:szCs w:val="20"/>
              </w:rPr>
              <w:t>ofinansowanych w programie – 223</w:t>
            </w:r>
            <w:r w:rsidRPr="005777F8">
              <w:rPr>
                <w:rFonts w:ascii="Garamond" w:hAnsi="Garamond"/>
                <w:color w:val="000000" w:themeColor="text1"/>
                <w:sz w:val="20"/>
                <w:szCs w:val="20"/>
              </w:rPr>
              <w:t xml:space="preserve"> szt.</w:t>
            </w:r>
          </w:p>
          <w:p w:rsidR="00A737EC" w:rsidRPr="005777F8" w:rsidRDefault="00A737EC" w:rsidP="00E36E87">
            <w:pPr>
              <w:pStyle w:val="Akapitzlist"/>
              <w:numPr>
                <w:ilvl w:val="0"/>
                <w:numId w:val="122"/>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miejsc wychowania przedszkolnego, które funkcjonują 2 lata po uzyskaniu dofinansowania ze źródeł EFS -100%</w:t>
            </w:r>
          </w:p>
        </w:tc>
      </w:tr>
      <w:tr w:rsidR="00567C3E" w:rsidRPr="005777F8" w:rsidTr="00D32FA7">
        <w:tc>
          <w:tcPr>
            <w:tcW w:w="993"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lastRenderedPageBreak/>
              <w:t>EFS</w:t>
            </w:r>
          </w:p>
        </w:tc>
        <w:tc>
          <w:tcPr>
            <w:tcW w:w="567" w:type="dxa"/>
            <w:shd w:val="clear" w:color="auto" w:fill="FFFFFF" w:themeFill="background1"/>
            <w:vAlign w:val="center"/>
          </w:tcPr>
          <w:p w:rsidR="00567C3E" w:rsidRPr="005777F8" w:rsidRDefault="00567C3E" w:rsidP="00D32FA7">
            <w:pPr>
              <w:pStyle w:val="S1"/>
              <w:numPr>
                <w:ilvl w:val="0"/>
                <w:numId w:val="0"/>
              </w:numPr>
              <w:tabs>
                <w:tab w:val="left" w:pos="709"/>
              </w:tabs>
              <w:spacing w:after="0"/>
              <w:jc w:val="center"/>
              <w:rPr>
                <w:color w:val="000000" w:themeColor="text1"/>
                <w:sz w:val="20"/>
                <w:szCs w:val="20"/>
              </w:rPr>
            </w:pPr>
            <w:r w:rsidRPr="005777F8">
              <w:rPr>
                <w:color w:val="000000" w:themeColor="text1"/>
                <w:sz w:val="20"/>
                <w:szCs w:val="20"/>
              </w:rPr>
              <w:t>10iv</w:t>
            </w:r>
          </w:p>
        </w:tc>
        <w:tc>
          <w:tcPr>
            <w:tcW w:w="7585" w:type="dxa"/>
            <w:shd w:val="clear" w:color="auto" w:fill="FFFFFF" w:themeFill="background1"/>
            <w:vAlign w:val="center"/>
          </w:tcPr>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szkół i placówek kształcenia zawodowego objętych wsparciem w programie, uczestniczących w kształceniu lub pracujących po 6 miesiąc</w:t>
            </w:r>
            <w:r w:rsidR="00A737EC" w:rsidRPr="005777F8">
              <w:rPr>
                <w:rFonts w:ascii="Garamond" w:hAnsi="Garamond"/>
                <w:color w:val="000000" w:themeColor="text1"/>
                <w:sz w:val="20"/>
                <w:szCs w:val="20"/>
              </w:rPr>
              <w:t xml:space="preserve">ach po ukończeniu nauki – </w:t>
            </w:r>
            <w:r w:rsidR="00267556" w:rsidRPr="005777F8">
              <w:rPr>
                <w:rFonts w:ascii="Garamond" w:hAnsi="Garamond"/>
                <w:color w:val="000000" w:themeColor="text1"/>
                <w:sz w:val="20"/>
                <w:szCs w:val="20"/>
              </w:rPr>
              <w:t>675</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kształcenia zawodowego wykorzystujących dopo</w:t>
            </w:r>
            <w:r w:rsidR="00A737EC" w:rsidRPr="005777F8">
              <w:rPr>
                <w:rFonts w:ascii="Garamond" w:hAnsi="Garamond"/>
                <w:color w:val="000000" w:themeColor="text1"/>
                <w:sz w:val="20"/>
                <w:szCs w:val="20"/>
              </w:rPr>
              <w:t>sażenie zakupione dzięki EFS – 4</w:t>
            </w:r>
            <w:r w:rsidRPr="005777F8">
              <w:rPr>
                <w:rFonts w:ascii="Garamond" w:hAnsi="Garamond"/>
                <w:color w:val="000000" w:themeColor="text1"/>
                <w:sz w:val="20"/>
                <w:szCs w:val="20"/>
              </w:rPr>
              <w:t xml:space="preserve"> szt. </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uczniów szkół i placówek kształcenia zawodowego uczestniczących w staża</w:t>
            </w:r>
            <w:r w:rsidR="00A737EC" w:rsidRPr="005777F8">
              <w:rPr>
                <w:rFonts w:ascii="Garamond" w:hAnsi="Garamond"/>
                <w:color w:val="000000" w:themeColor="text1"/>
                <w:sz w:val="20"/>
                <w:szCs w:val="20"/>
              </w:rPr>
              <w:t>ch i praktykach u pracodawcy 116</w:t>
            </w:r>
            <w:r w:rsidRPr="005777F8">
              <w:rPr>
                <w:rFonts w:ascii="Garamond" w:hAnsi="Garamond"/>
                <w:color w:val="000000" w:themeColor="text1"/>
                <w:sz w:val="20"/>
                <w:szCs w:val="20"/>
              </w:rPr>
              <w:t xml:space="preserve"> –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nauczycieli kształcenia zawodowego oraz instruktorów praktycznej nauki zawodu obj</w:t>
            </w:r>
            <w:r w:rsidR="00267556" w:rsidRPr="005777F8">
              <w:rPr>
                <w:rFonts w:ascii="Garamond" w:hAnsi="Garamond"/>
                <w:color w:val="000000" w:themeColor="text1"/>
                <w:sz w:val="20"/>
                <w:szCs w:val="20"/>
              </w:rPr>
              <w:t>ętych wsparciem w programie – 6</w:t>
            </w:r>
            <w:r w:rsidRPr="005777F8">
              <w:rPr>
                <w:rFonts w:ascii="Garamond" w:hAnsi="Garamond"/>
                <w:color w:val="000000" w:themeColor="text1"/>
                <w:sz w:val="20"/>
                <w:szCs w:val="20"/>
              </w:rPr>
              <w:t xml:space="preserve"> osób</w:t>
            </w:r>
          </w:p>
          <w:p w:rsidR="00567C3E" w:rsidRPr="005777F8" w:rsidRDefault="00567C3E" w:rsidP="00E36E87">
            <w:pPr>
              <w:pStyle w:val="Akapitzlist"/>
              <w:numPr>
                <w:ilvl w:val="0"/>
                <w:numId w:val="123"/>
              </w:numPr>
              <w:spacing w:after="0" w:line="23" w:lineRule="atLeast"/>
              <w:ind w:left="170" w:hanging="170"/>
              <w:jc w:val="both"/>
              <w:rPr>
                <w:rFonts w:ascii="Garamond" w:hAnsi="Garamond"/>
                <w:color w:val="000000" w:themeColor="text1"/>
                <w:sz w:val="20"/>
                <w:szCs w:val="20"/>
              </w:rPr>
            </w:pPr>
            <w:r w:rsidRPr="005777F8">
              <w:rPr>
                <w:rFonts w:ascii="Garamond" w:hAnsi="Garamond"/>
                <w:color w:val="000000" w:themeColor="text1"/>
                <w:sz w:val="20"/>
                <w:szCs w:val="20"/>
              </w:rPr>
              <w:t>Liczba szkół i placówek kształcenia zawodowego doposażonych w sprzęt i materiały dydaktyczne niezbędne do reali</w:t>
            </w:r>
            <w:r w:rsidR="00A737EC" w:rsidRPr="005777F8">
              <w:rPr>
                <w:rFonts w:ascii="Garamond" w:hAnsi="Garamond"/>
                <w:color w:val="000000" w:themeColor="text1"/>
                <w:sz w:val="20"/>
                <w:szCs w:val="20"/>
              </w:rPr>
              <w:t>z</w:t>
            </w:r>
            <w:r w:rsidR="00267556" w:rsidRPr="005777F8">
              <w:rPr>
                <w:rFonts w:ascii="Garamond" w:hAnsi="Garamond"/>
                <w:color w:val="000000" w:themeColor="text1"/>
                <w:sz w:val="20"/>
                <w:szCs w:val="20"/>
              </w:rPr>
              <w:t xml:space="preserve">acji kształcenia zawodowego – 4 </w:t>
            </w:r>
            <w:r w:rsidRPr="005777F8">
              <w:rPr>
                <w:rFonts w:ascii="Garamond" w:hAnsi="Garamond"/>
                <w:color w:val="000000" w:themeColor="text1"/>
                <w:sz w:val="20"/>
                <w:szCs w:val="20"/>
              </w:rPr>
              <w:t xml:space="preserve">szt. </w:t>
            </w:r>
          </w:p>
          <w:p w:rsidR="00567C3E" w:rsidRPr="005777F8" w:rsidRDefault="00567C3E" w:rsidP="0097763C">
            <w:pPr>
              <w:pStyle w:val="Akapitzlist"/>
              <w:spacing w:after="0" w:line="23" w:lineRule="atLeast"/>
              <w:ind w:left="170"/>
              <w:jc w:val="both"/>
              <w:rPr>
                <w:rFonts w:ascii="Garamond" w:hAnsi="Garamond" w:cs="Calibri"/>
                <w:color w:val="000000" w:themeColor="text1"/>
                <w:sz w:val="20"/>
                <w:szCs w:val="20"/>
              </w:rPr>
            </w:pPr>
          </w:p>
        </w:tc>
      </w:tr>
    </w:tbl>
    <w:p w:rsidR="00567C3E" w:rsidRPr="005777F8" w:rsidRDefault="00567C3E" w:rsidP="00567C3E">
      <w:pPr>
        <w:jc w:val="both"/>
        <w:rPr>
          <w:rFonts w:ascii="Garamond" w:hAnsi="Garamond"/>
          <w:b/>
          <w:color w:val="000000" w:themeColor="text1"/>
          <w:sz w:val="40"/>
        </w:rPr>
        <w:sectPr w:rsidR="00567C3E" w:rsidRPr="005777F8" w:rsidSect="00D32FA7">
          <w:pgSz w:w="11906" w:h="16838"/>
          <w:pgMar w:top="1417" w:right="1417" w:bottom="1417" w:left="1417" w:header="708" w:footer="708" w:gutter="0"/>
          <w:cols w:space="708"/>
          <w:docGrid w:linePitch="360"/>
        </w:sectPr>
      </w:pPr>
    </w:p>
    <w:p w:rsidR="00567C3E" w:rsidRPr="005777F8" w:rsidRDefault="00567C3E" w:rsidP="00567C3E">
      <w:pPr>
        <w:pStyle w:val="ST2"/>
        <w:rPr>
          <w:color w:val="000000" w:themeColor="text1"/>
        </w:rPr>
      </w:pPr>
      <w:bookmarkStart w:id="110" w:name="_Toc419705532"/>
      <w:r w:rsidRPr="005777F8">
        <w:rPr>
          <w:color w:val="000000" w:themeColor="text1"/>
        </w:rPr>
        <w:lastRenderedPageBreak/>
        <w:t>System wdrażania i monitorowania</w:t>
      </w:r>
      <w:bookmarkEnd w:id="110"/>
      <w:r w:rsidRPr="005777F8">
        <w:rPr>
          <w:color w:val="000000" w:themeColor="text1"/>
        </w:rPr>
        <w:t xml:space="preserve"> </w:t>
      </w:r>
    </w:p>
    <w:p w:rsidR="00567C3E" w:rsidRPr="005777F8" w:rsidRDefault="00567C3E" w:rsidP="00567C3E">
      <w:pPr>
        <w:spacing w:after="120"/>
        <w:ind w:firstLine="709"/>
        <w:jc w:val="both"/>
        <w:rPr>
          <w:rFonts w:ascii="Garamond" w:hAnsi="Garamond"/>
          <w:color w:val="000000" w:themeColor="text1"/>
        </w:rPr>
      </w:pPr>
      <w:r w:rsidRPr="005777F8">
        <w:rPr>
          <w:rFonts w:ascii="Garamond" w:hAnsi="Garamond" w:cs="Tahoma"/>
          <w:color w:val="000000" w:themeColor="text1"/>
        </w:rPr>
        <w:t>Planowanie strategiczne jest procesem ciągłym. Dla osiągnięcia zamierzonych celów strategicznych i kierunków rozwoju wymagane jest stworzenie efektywnych mechanizmów gwarantujących konsekwentne wdrażanie, monitorowanie i ewaluację efektów Strategii.</w:t>
      </w:r>
      <w:r w:rsidRPr="005777F8">
        <w:rPr>
          <w:rFonts w:ascii="Garamond" w:hAnsi="Garamond"/>
          <w:color w:val="000000" w:themeColor="text1"/>
        </w:rPr>
        <w:t xml:space="preserve"> </w:t>
      </w:r>
    </w:p>
    <w:p w:rsidR="00567C3E" w:rsidRPr="006D6F25" w:rsidRDefault="00567C3E" w:rsidP="00567C3E">
      <w:pPr>
        <w:spacing w:after="120"/>
        <w:ind w:firstLine="709"/>
        <w:jc w:val="both"/>
        <w:rPr>
          <w:rFonts w:ascii="Garamond" w:hAnsi="Garamond"/>
        </w:rPr>
      </w:pPr>
      <w:r w:rsidRPr="005777F8">
        <w:rPr>
          <w:rFonts w:ascii="Garamond" w:hAnsi="Garamond"/>
          <w:color w:val="000000" w:themeColor="text1"/>
        </w:rPr>
        <w:t>Zgodnie z nowymi uwarunkowaniami polityki regionalnej w kraju, polegają</w:t>
      </w:r>
      <w:r w:rsidRPr="006D6F25">
        <w:rPr>
          <w:rFonts w:ascii="Garamond" w:hAnsi="Garamond"/>
        </w:rPr>
        <w:t xml:space="preserve">cej na wielopoziomowym modelu zarządzania rozwojem jednostek samorządu terytorialnego, koniecznym i celowym działaniem w okresie realizacji Strategii będzie tworzenie warunków dla ścisłej współpracy władz Powiatu z partnerami samorządowymi i ich jednostkami organizacyjnymi oraz partnerami prywatnymi i pozarządowymi. </w:t>
      </w:r>
    </w:p>
    <w:p w:rsidR="00567C3E" w:rsidRPr="006D6F25" w:rsidRDefault="00567C3E" w:rsidP="00567C3E">
      <w:pPr>
        <w:ind w:firstLine="709"/>
        <w:jc w:val="both"/>
        <w:rPr>
          <w:rFonts w:ascii="Garamond" w:hAnsi="Garamond"/>
        </w:rPr>
      </w:pPr>
      <w:r w:rsidRPr="006D6F25">
        <w:rPr>
          <w:rFonts w:ascii="Garamond" w:hAnsi="Garamond"/>
        </w:rPr>
        <w:t>W proces wdrażania Strategii, podobnie jak w proces jej tworzenia, zostaną zaangażowane instytucje i podmioty, które mogą mieć wpływ na poprawę sytuacji społeczno-gospodarczej ORSG. Oprócz jednostki samorządu terytorialnego będą to m. in. organizacje pozarządowe, przedsiębiorstwa, partnerzy społeczni oraz gospodarczy, instytucje rynku pracy, organizacje skupiające pracodawców, instytucje pomocy i integracji społecznej, lokalne grupy działania, szkoły i placówki prowadzące  kształcenie  ogólne,  zawodowe i ustawiczne, spółdzielnie i wspólnoty mieszkaniowe, kościoły i związki wyznaniowe itp.</w:t>
      </w:r>
    </w:p>
    <w:p w:rsidR="00567C3E" w:rsidRPr="006D6F25" w:rsidRDefault="00567C3E" w:rsidP="00567C3E">
      <w:pPr>
        <w:ind w:firstLine="709"/>
        <w:jc w:val="both"/>
        <w:rPr>
          <w:rFonts w:ascii="Garamond" w:hAnsi="Garamond"/>
        </w:rPr>
      </w:pPr>
      <w:r w:rsidRPr="006D6F25">
        <w:rPr>
          <w:rFonts w:ascii="Garamond" w:hAnsi="Garamond"/>
        </w:rPr>
        <w:t xml:space="preserve">Wskazane wyżej podmioty będą zaangażowane we wdrażanie Strategii poprzez realizację projektów znajdujących się na liście podstawowej, rezerwowej i komplementarnej w dokumencie.  </w:t>
      </w:r>
    </w:p>
    <w:p w:rsidR="00567C3E" w:rsidRPr="006D6F25" w:rsidRDefault="00567C3E" w:rsidP="00567C3E">
      <w:pPr>
        <w:spacing w:before="240"/>
        <w:jc w:val="both"/>
        <w:rPr>
          <w:rFonts w:ascii="Garamond" w:hAnsi="Garamond"/>
          <w:b/>
          <w:color w:val="B1059D"/>
          <w:sz w:val="24"/>
        </w:rPr>
      </w:pPr>
      <w:r w:rsidRPr="006D6F25">
        <w:rPr>
          <w:rFonts w:ascii="Garamond" w:hAnsi="Garamond"/>
          <w:b/>
          <w:color w:val="B1059D"/>
          <w:sz w:val="24"/>
        </w:rPr>
        <w:t xml:space="preserve">System wdrażania </w:t>
      </w:r>
    </w:p>
    <w:p w:rsidR="00567C3E" w:rsidRPr="001534A8" w:rsidRDefault="00567C3E" w:rsidP="00567C3E">
      <w:pPr>
        <w:spacing w:after="120"/>
        <w:ind w:firstLine="709"/>
        <w:jc w:val="both"/>
        <w:rPr>
          <w:rFonts w:ascii="Garamond" w:hAnsi="Garamond"/>
        </w:rPr>
      </w:pPr>
      <w:r w:rsidRPr="006D6F25">
        <w:rPr>
          <w:rFonts w:ascii="Garamond" w:hAnsi="Garamond"/>
        </w:rPr>
        <w:t>System wdrażania Strategii jest procesem, w którym działania operacyjne wynikają ze sformułowanych w dokumencie długoterminowych celów strategicznych i operacyjnych. Ponadto Strategia stanowi dokument o charakterze kierunkowym i koncepcyjnym.  Jednym z ele</w:t>
      </w:r>
      <w:r w:rsidRPr="001534A8">
        <w:rPr>
          <w:rFonts w:ascii="Garamond" w:hAnsi="Garamond"/>
        </w:rPr>
        <w:t xml:space="preserve">mentów procesu jej wdrażania są działania mające na celu propagowanie i upowszechnianie informacji na temat jej zawartości i przyjętych założeń. Głównym celem tych działań jest aktywizacja wybranych organizacji i środowisk do współudziału w realizacji Strategii. </w:t>
      </w:r>
    </w:p>
    <w:p w:rsidR="00567C3E" w:rsidRPr="001534A8" w:rsidRDefault="00567C3E" w:rsidP="00567C3E">
      <w:pPr>
        <w:spacing w:after="120"/>
        <w:ind w:firstLine="709"/>
        <w:jc w:val="both"/>
        <w:rPr>
          <w:rFonts w:ascii="Garamond" w:hAnsi="Garamond"/>
        </w:rPr>
      </w:pPr>
      <w:r w:rsidRPr="001534A8">
        <w:rPr>
          <w:rFonts w:ascii="Garamond" w:hAnsi="Garamond"/>
        </w:rPr>
        <w:t>Inicjatorem i koordynatorem przedsięwzięć związanych z wdrażaniem Strategii ORSG jest Starosta Brodnicki oraz Marszałek Województwa Kujawsko-Pomorskiego, których zadaniem są działania na rzecz stworzenia warunków dla współpracy w zakresie rozwoju społeczno-gospodarczego. Równie istotne dla należytej realizacji zadań strategicznych jest zaangażowanie wszystkich gmin wchodzących w skład Powiatu Brodnickiego, będących sygnatariuszami  Porozumienia  na  rzecz  rozwoju  Obszaru  Rozwoju  Społeczno-Gospodarczego.</w:t>
      </w:r>
    </w:p>
    <w:p w:rsidR="00567C3E" w:rsidRPr="001534A8" w:rsidRDefault="00567C3E" w:rsidP="00567C3E">
      <w:pPr>
        <w:spacing w:after="0"/>
        <w:ind w:firstLine="708"/>
        <w:jc w:val="both"/>
        <w:rPr>
          <w:rFonts w:ascii="Garamond" w:hAnsi="Garamond"/>
        </w:rPr>
      </w:pPr>
      <w:r w:rsidRPr="001534A8">
        <w:rPr>
          <w:rFonts w:ascii="Garamond" w:hAnsi="Garamond"/>
        </w:rPr>
        <w:t>Organem nadzorującym realizację Strategii jest Komitet Sterujący, w skład którego wchodzą po jednym upoważnionym przedstawicielu Stron Porozumienia na rzecz rozwoju ORSG, przedstawiciel Marszałka Województwa Kujawsko-Pomorskiego oraz upoważnieni przedstawiciele partnerów społecznych. Do zadań Komitetu w zakresie prac nad Strategią w szczególności należy:</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 xml:space="preserve">Zatwierdzanie Strategii Obszaru Rozwoju Społeczno-Gospodarczego Powiatu Brodnickiego i jej aktualizacja </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Przedkładanie Strategii do zaopiniowania IZ RPO oraz Marszałkowi Województwa Kujawsko-Pomorskiego</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Zatwierdzanie listy projektów stanowiących integralną część Strategii i jej aktualizacji</w:t>
      </w:r>
    </w:p>
    <w:p w:rsidR="00567C3E" w:rsidRPr="001534A8" w:rsidRDefault="00567C3E" w:rsidP="00E36E87">
      <w:pPr>
        <w:pStyle w:val="Akapitzlist"/>
        <w:numPr>
          <w:ilvl w:val="0"/>
          <w:numId w:val="56"/>
        </w:numPr>
        <w:spacing w:after="0"/>
        <w:ind w:left="284" w:hanging="284"/>
        <w:contextualSpacing w:val="0"/>
        <w:jc w:val="both"/>
        <w:rPr>
          <w:rFonts w:ascii="Garamond" w:hAnsi="Garamond"/>
        </w:rPr>
      </w:pPr>
      <w:r w:rsidRPr="001534A8">
        <w:rPr>
          <w:rFonts w:ascii="Garamond" w:hAnsi="Garamond"/>
        </w:rPr>
        <w:t>Zatwierdzenie raportów monitoringowych nt. wdrażania Strategii Obszaru Rozwoju Społeczno-Gospodarczego Powiatu Brodnickiego, a następnie przekazywanie tych dokumentów do oceny i zatwierdzania IZ RPO</w:t>
      </w:r>
    </w:p>
    <w:p w:rsidR="00567C3E" w:rsidRPr="001534A8" w:rsidRDefault="00567C3E" w:rsidP="00567C3E">
      <w:pPr>
        <w:spacing w:after="0"/>
        <w:ind w:firstLine="708"/>
        <w:jc w:val="both"/>
        <w:rPr>
          <w:rFonts w:ascii="Garamond" w:hAnsi="Garamond"/>
        </w:rPr>
      </w:pPr>
      <w:r w:rsidRPr="001534A8">
        <w:rPr>
          <w:rFonts w:ascii="Garamond" w:hAnsi="Garamond"/>
        </w:rPr>
        <w:lastRenderedPageBreak/>
        <w:t>Komitet realizuje swoje zadania zgodnie z Regulaminem pracy Komitetu Sterującego ORSG, określającym szczegółowe zasady oraz tryb jego pracy.</w:t>
      </w:r>
    </w:p>
    <w:p w:rsidR="00567C3E" w:rsidRPr="001534A8" w:rsidRDefault="00567C3E" w:rsidP="00567C3E">
      <w:pPr>
        <w:spacing w:after="0"/>
        <w:ind w:firstLine="708"/>
        <w:jc w:val="both"/>
        <w:rPr>
          <w:rFonts w:ascii="Garamond" w:hAnsi="Garamond"/>
        </w:rPr>
      </w:pPr>
      <w:r w:rsidRPr="001534A8">
        <w:rPr>
          <w:rFonts w:ascii="Garamond" w:hAnsi="Garamond"/>
        </w:rPr>
        <w:t>Organem wykonawczym odpowiedzialnym za wykonanie ujętych w Strategii założeń jest Zarząd ORSG, do kompetencji którego należą wszelkie sprawy niezastrzeżone dla Komitetu Sterującego. Zarząd składa się z pięciu osób w tym przewodniczącego, zastępcy i trzech członków. Do jego zadań  w zakresie prac nad Strategią w szczególności należy:</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na podstawie zasad wyboru projektów wskazanych w Strategii Obszaru Rozwoju Społeczno-Gospodarczego Powiatu Brodnickiego, propozycji szczegółowych kryteriów wyboru projektów i uzgodnienie ich w porozumieniu z Marszałkiem Województwa Kujawsko-Pomorskiego oraz z IZ RPO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Wybór projektów, w tym opracowanie listy rankingowej projektów, jej aktualizacja, przedkładanie do zaopiniowania Marszałkowi Województwa Kujawsko-Pomorskiego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rocznego raportu monitoringowego nt. wdrażania Strategii Obszaru Rozwoju Społeczno-Gospodarczego Powiatu Brodnickiego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Przygotowanie porządku obrad oraz projektów uchwał na posiedzenie Komitetu Sterującego</w:t>
      </w:r>
    </w:p>
    <w:p w:rsidR="00567C3E" w:rsidRPr="001534A8" w:rsidRDefault="00567C3E" w:rsidP="00E36E87">
      <w:pPr>
        <w:pStyle w:val="Akapitzlist"/>
        <w:numPr>
          <w:ilvl w:val="0"/>
          <w:numId w:val="57"/>
        </w:numPr>
        <w:ind w:left="284" w:hanging="284"/>
        <w:jc w:val="both"/>
        <w:rPr>
          <w:rFonts w:ascii="Garamond" w:hAnsi="Garamond"/>
        </w:rPr>
      </w:pPr>
      <w:r w:rsidRPr="001534A8">
        <w:rPr>
          <w:rFonts w:ascii="Garamond" w:hAnsi="Garamond"/>
        </w:rPr>
        <w:t>Nadzór nad realizacją uchwał Komitetu Sterującego</w:t>
      </w:r>
    </w:p>
    <w:p w:rsidR="00567C3E" w:rsidRPr="001534A8" w:rsidRDefault="00567C3E" w:rsidP="00E36E87">
      <w:pPr>
        <w:pStyle w:val="Akapitzlist"/>
        <w:numPr>
          <w:ilvl w:val="0"/>
          <w:numId w:val="57"/>
        </w:numPr>
        <w:spacing w:after="120"/>
        <w:ind w:left="284" w:hanging="284"/>
        <w:jc w:val="both"/>
        <w:rPr>
          <w:rFonts w:ascii="Garamond" w:hAnsi="Garamond"/>
        </w:rPr>
      </w:pPr>
      <w:r w:rsidRPr="001534A8">
        <w:rPr>
          <w:rFonts w:ascii="Garamond" w:hAnsi="Garamond"/>
        </w:rPr>
        <w:t>Reprezentowanie Stron Porozumienia w kontaktach z instytucjami zewnętrznymi w sprawach związanych z opracowywaniem i wdrażaniem Strategii</w:t>
      </w:r>
    </w:p>
    <w:p w:rsidR="00567C3E" w:rsidRPr="001534A8" w:rsidRDefault="00567C3E" w:rsidP="00567C3E">
      <w:pPr>
        <w:ind w:firstLine="708"/>
        <w:jc w:val="both"/>
        <w:rPr>
          <w:rFonts w:ascii="Garamond" w:hAnsi="Garamond"/>
        </w:rPr>
      </w:pPr>
      <w:r w:rsidRPr="001534A8">
        <w:rPr>
          <w:rFonts w:ascii="Garamond" w:hAnsi="Garamond"/>
        </w:rPr>
        <w:t>Szczegółowe zasady funkcjonowania Zarządu określa Regulamin pracy Zarządu ORSG.</w:t>
      </w:r>
    </w:p>
    <w:p w:rsidR="00567C3E" w:rsidRPr="001534A8" w:rsidRDefault="00567C3E" w:rsidP="00567C3E">
      <w:pPr>
        <w:jc w:val="both"/>
        <w:rPr>
          <w:rFonts w:ascii="Garamond" w:hAnsi="Garamond"/>
          <w:b/>
          <w:color w:val="B1059D"/>
          <w:sz w:val="24"/>
        </w:rPr>
      </w:pPr>
      <w:r w:rsidRPr="001534A8">
        <w:rPr>
          <w:rFonts w:ascii="Garamond" w:hAnsi="Garamond"/>
          <w:b/>
          <w:color w:val="B1059D"/>
          <w:sz w:val="24"/>
        </w:rPr>
        <w:t xml:space="preserve">System monitorowania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 xml:space="preserve">Podstawą skutecznego wdrażania działań służących osiąganiu celów Strategii ORSG jest  dysponowanie  wiedzą  na  temat  postępów osiąganych  w  zakresie  wdrażanych  kierunków  interwencji  oraz zdolność do reagowania na pojawiające się różnice pomiędzy przyjętymi założeniami a uzyskiwanymi efektami realizacji kluczowych zadań. Dla efektywnej realizacji zapisów Strategii, niezbędne jest stworzenie systemu monitoringu realizacji jego ustaleń. </w:t>
      </w:r>
    </w:p>
    <w:p w:rsidR="00567C3E" w:rsidRPr="001534A8" w:rsidRDefault="00567C3E" w:rsidP="00567C3E">
      <w:pPr>
        <w:spacing w:after="120"/>
        <w:ind w:firstLine="709"/>
        <w:jc w:val="both"/>
        <w:rPr>
          <w:rFonts w:ascii="Garamond" w:hAnsi="Garamond" w:cs="Tahoma"/>
        </w:rPr>
      </w:pPr>
      <w:r w:rsidRPr="001534A8">
        <w:rPr>
          <w:rFonts w:ascii="Garamond" w:hAnsi="Garamond" w:cs="Tahoma"/>
        </w:rPr>
        <w:t>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System ten będzie wykorzystywany do ciągłego śledzenia zdarzeń, tendencji i procesów zachodzących na ORSG, które mogą wywierać pozytywny lub negatywny wpływ na osiąganie przyjętych celów rozwoju. Pozwala to na zwiększenie zdolności sygnatariuszy porozumienia na rzecz rozwoju ORSG do szybkiej i skutecznej reakcji na zmiany zachodzące zarówno w jej otoczeniu, jak i wewnątrz niej.</w:t>
      </w:r>
    </w:p>
    <w:p w:rsidR="00567C3E" w:rsidRPr="001534A8" w:rsidRDefault="00567C3E" w:rsidP="00567C3E">
      <w:pPr>
        <w:autoSpaceDE w:val="0"/>
        <w:autoSpaceDN w:val="0"/>
        <w:adjustRightInd w:val="0"/>
        <w:spacing w:after="0"/>
        <w:ind w:firstLine="708"/>
        <w:jc w:val="both"/>
        <w:rPr>
          <w:rFonts w:ascii="Garamond" w:eastAsia="Arial Unicode MS" w:hAnsi="Garamond" w:cs="Tahoma"/>
        </w:rPr>
      </w:pPr>
      <w:r w:rsidRPr="001534A8">
        <w:rPr>
          <w:rFonts w:ascii="Garamond" w:eastAsia="Arial Unicode MS" w:hAnsi="Garamond" w:cs="Tahoma"/>
        </w:rPr>
        <w:t xml:space="preserve">System monitorowania strategii ORSG obejmuje: </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Ocenę poziomu realizacji wskaźników zgodnie z matrycą logiczną Celów Tematycznych, Priorytetów Inwestycyjnych,  jak  i  wybranymi  wskaźnikami  produktu  i  rezultatu  oraz  spełnienie  przez  wskaźniki warunków SMART</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stopnia realizacji przyjętych celów Strategii oraz adekwatność doboru do nich wskaźników</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Analizę i ocenę harmonogramu wdrażania Strategii</w:t>
      </w:r>
    </w:p>
    <w:p w:rsidR="00567C3E" w:rsidRPr="001534A8" w:rsidRDefault="00567C3E" w:rsidP="00E36E87">
      <w:pPr>
        <w:pStyle w:val="Akapitzlist"/>
        <w:numPr>
          <w:ilvl w:val="0"/>
          <w:numId w:val="58"/>
        </w:numPr>
        <w:autoSpaceDE w:val="0"/>
        <w:autoSpaceDN w:val="0"/>
        <w:adjustRightInd w:val="0"/>
        <w:spacing w:before="120" w:after="0"/>
        <w:jc w:val="both"/>
        <w:rPr>
          <w:rFonts w:ascii="Garamond" w:eastAsia="Arial Unicode MS" w:hAnsi="Garamond" w:cs="Tahoma"/>
        </w:rPr>
      </w:pPr>
      <w:r w:rsidRPr="001534A8">
        <w:rPr>
          <w:rFonts w:ascii="Garamond" w:eastAsia="Arial Unicode MS" w:hAnsi="Garamond" w:cs="Tahoma"/>
        </w:rPr>
        <w:t>Dokonywanie odniesień do Strategii rozwoju województwa</w:t>
      </w:r>
    </w:p>
    <w:p w:rsidR="00567C3E" w:rsidRPr="001534A8" w:rsidRDefault="00567C3E" w:rsidP="00E36E87">
      <w:pPr>
        <w:pStyle w:val="Akapitzlist"/>
        <w:numPr>
          <w:ilvl w:val="0"/>
          <w:numId w:val="58"/>
        </w:numPr>
        <w:autoSpaceDE w:val="0"/>
        <w:autoSpaceDN w:val="0"/>
        <w:adjustRightInd w:val="0"/>
        <w:spacing w:before="120" w:after="120"/>
        <w:ind w:left="714" w:hanging="357"/>
        <w:jc w:val="both"/>
        <w:rPr>
          <w:rFonts w:ascii="Garamond" w:eastAsia="Arial Unicode MS" w:hAnsi="Garamond" w:cs="Tahoma"/>
        </w:rPr>
      </w:pPr>
      <w:r w:rsidRPr="001534A8">
        <w:rPr>
          <w:rFonts w:ascii="Garamond" w:eastAsia="Arial Unicode MS" w:hAnsi="Garamond" w:cs="Tahoma"/>
        </w:rPr>
        <w:t>Monitoring ogólnego poziomu rozwoju obszaru</w:t>
      </w:r>
    </w:p>
    <w:p w:rsidR="00567C3E" w:rsidRPr="001534A8" w:rsidRDefault="00567C3E" w:rsidP="00567C3E">
      <w:pPr>
        <w:spacing w:after="0"/>
        <w:ind w:firstLine="709"/>
        <w:jc w:val="both"/>
        <w:rPr>
          <w:rFonts w:ascii="Garamond" w:hAnsi="Garamond" w:cs="Tahoma"/>
        </w:rPr>
      </w:pPr>
      <w:r w:rsidRPr="00F84193">
        <w:rPr>
          <w:rFonts w:ascii="Garamond" w:hAnsi="Garamond" w:cs="Tahoma"/>
        </w:rPr>
        <w:t xml:space="preserve">Sprawozdawczość z monitoringu zostanie dokonana przez Zarząd ORSG w I kw. 2019 r. oraz w I kw. 2021 r. Okresowa ocena stopnia realizacji Strategii odbywać się będzie w oparciu o raporty cząstkowe, które zostaną przygotowywane przez sygnatariuszy Porozumienia na rzecz rozwoju ORSG w I </w:t>
      </w:r>
      <w:r w:rsidRPr="00F84193">
        <w:rPr>
          <w:rFonts w:ascii="Garamond" w:hAnsi="Garamond" w:cs="Tahoma"/>
        </w:rPr>
        <w:lastRenderedPageBreak/>
        <w:t>kw. 2019 r. oraz w I kw. 2021 r. – informacje podmiotów zaangażowanych w jej realizację na temat przygotowywania i realizacji przedsięwzięć oraz osiągniętych lub planowanych do osiągnięcia wskaźników. Informacje zbiorcze na temat procesu wdrażania Strategii zostaną zawarte w raporcie analitycznym, co pozwoli na weryfikację realizowanej polityki wsparcia, obiektywną ocenę poziomu realizacji założonych celów oraz dokonywanie</w:t>
      </w:r>
      <w:r w:rsidRPr="001534A8">
        <w:rPr>
          <w:rFonts w:ascii="Garamond" w:hAnsi="Garamond" w:cs="Tahoma"/>
        </w:rPr>
        <w:t xml:space="preserve">  niezbędnych korekt procesu wdrażania. </w:t>
      </w:r>
    </w:p>
    <w:p w:rsidR="00567C3E" w:rsidRPr="001534A8" w:rsidRDefault="00567C3E" w:rsidP="00567C3E">
      <w:pPr>
        <w:spacing w:after="0"/>
        <w:ind w:firstLine="709"/>
        <w:jc w:val="both"/>
        <w:rPr>
          <w:rFonts w:ascii="Garamond" w:eastAsia="Arial Unicode MS" w:hAnsi="Garamond" w:cs="Tahoma"/>
        </w:rPr>
      </w:pPr>
      <w:r w:rsidRPr="001534A8">
        <w:rPr>
          <w:rFonts w:ascii="Garamond" w:eastAsia="Arial Unicode MS" w:hAnsi="Garamond" w:cs="Tahoma"/>
        </w:rPr>
        <w:t xml:space="preserve">Sprawozdania z realizacji strategii będą zatwierdzane przez Komitet Sterujący ORSG. </w:t>
      </w:r>
      <w:r w:rsidRPr="001534A8">
        <w:rPr>
          <w:rFonts w:ascii="Garamond" w:hAnsi="Garamond" w:cs="Tahoma"/>
        </w:rPr>
        <w:t xml:space="preserve">Wnioski płynące z monitoringu będą stanowiły podstawę do ewentualnej </w:t>
      </w:r>
      <w:r w:rsidRPr="001534A8">
        <w:rPr>
          <w:rFonts w:ascii="Garamond" w:eastAsia="Arial Unicode MS" w:hAnsi="Garamond" w:cs="Tahoma"/>
        </w:rPr>
        <w:t xml:space="preserve">aktualizacji Strategii poprzez </w:t>
      </w:r>
      <w:r w:rsidRPr="001534A8">
        <w:rPr>
          <w:rFonts w:ascii="Garamond" w:hAnsi="Garamond" w:cs="Tahoma"/>
        </w:rPr>
        <w:t xml:space="preserve">modyfikację poszczególnych elementów przyjętych ustaleń strategicznych, w tym </w:t>
      </w:r>
      <w:r w:rsidRPr="001534A8">
        <w:rPr>
          <w:rFonts w:ascii="Garamond" w:eastAsia="Arial Unicode MS" w:hAnsi="Garamond" w:cs="Tahoma"/>
        </w:rPr>
        <w:t xml:space="preserve">dokonywanie korekt wartości wskaźników w procesie realizacji zamierzonych działań. </w:t>
      </w:r>
    </w:p>
    <w:p w:rsidR="00567C3E" w:rsidRPr="001534A8" w:rsidRDefault="00567C3E" w:rsidP="00567C3E">
      <w:pPr>
        <w:spacing w:after="0"/>
        <w:ind w:firstLine="709"/>
        <w:jc w:val="both"/>
        <w:rPr>
          <w:rFonts w:ascii="Garamond" w:hAnsi="Garamond"/>
        </w:rPr>
      </w:pPr>
      <w:r w:rsidRPr="001534A8">
        <w:rPr>
          <w:rFonts w:ascii="Garamond" w:hAnsi="Garamond"/>
        </w:rPr>
        <w:t>Postęp  prac  w  zakresie  wdrażania  założeń Strategii  oraz  realizacji  przedsięwzięć ujętych  w  przedmiotowym  dokumencie  będzie  również podlegał  monitorowaniu  przez  Instytucję Zarządzającą RPO do końca 2018 r. w okresie kwartalnym, a po 2018 r. w okresie półrocznym.</w:t>
      </w: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p>
    <w:p w:rsidR="00567C3E" w:rsidRPr="001534A8" w:rsidRDefault="00567C3E" w:rsidP="00567C3E">
      <w:pPr>
        <w:jc w:val="both"/>
        <w:rPr>
          <w:rFonts w:ascii="Garamond" w:hAnsi="Garamond"/>
          <w:b/>
          <w:color w:val="4F2D7F"/>
          <w:sz w:val="40"/>
        </w:rPr>
      </w:pPr>
      <w:r w:rsidRPr="001534A8">
        <w:rPr>
          <w:rFonts w:ascii="Garamond" w:hAnsi="Garamond"/>
          <w:b/>
          <w:color w:val="4F2D7F"/>
          <w:sz w:val="40"/>
        </w:rPr>
        <w:lastRenderedPageBreak/>
        <w:t>Spis tabel</w:t>
      </w:r>
    </w:p>
    <w:p w:rsidR="00567C3E" w:rsidRPr="002432ED" w:rsidRDefault="00567C3E" w:rsidP="00567C3E">
      <w:pPr>
        <w:pStyle w:val="Spistreci1"/>
        <w:jc w:val="both"/>
      </w:pPr>
      <w:r w:rsidRPr="002432ED">
        <w:rPr>
          <w:b/>
          <w:color w:val="4F2D7F"/>
        </w:rPr>
        <w:fldChar w:fldCharType="begin"/>
      </w:r>
      <w:r w:rsidRPr="002432ED">
        <w:rPr>
          <w:b/>
          <w:color w:val="4F2D7F"/>
        </w:rPr>
        <w:instrText xml:space="preserve"> TOC \h \z \t "T;1" </w:instrText>
      </w:r>
      <w:r w:rsidRPr="002432ED">
        <w:rPr>
          <w:b/>
          <w:color w:val="4F2D7F"/>
        </w:rPr>
        <w:fldChar w:fldCharType="separate"/>
      </w:r>
      <w:hyperlink w:anchor="_Toc430871983" w:history="1">
        <w:r w:rsidRPr="002432ED">
          <w:rPr>
            <w:rStyle w:val="Hipercze"/>
          </w:rPr>
          <w:t>Tabela 1. Struktura dokumentu</w:t>
        </w:r>
        <w:r w:rsidRPr="002432ED">
          <w:rPr>
            <w:webHidden/>
          </w:rPr>
          <w:tab/>
        </w:r>
        <w:r w:rsidRPr="002432ED">
          <w:rPr>
            <w:webHidden/>
          </w:rPr>
          <w:fldChar w:fldCharType="begin"/>
        </w:r>
        <w:r w:rsidRPr="002432ED">
          <w:rPr>
            <w:webHidden/>
          </w:rPr>
          <w:instrText xml:space="preserve"> PAGEREF _Toc430871983 \h </w:instrText>
        </w:r>
        <w:r w:rsidRPr="002432ED">
          <w:rPr>
            <w:webHidden/>
          </w:rPr>
        </w:r>
        <w:r w:rsidRPr="002432ED">
          <w:rPr>
            <w:webHidden/>
          </w:rPr>
          <w:fldChar w:fldCharType="separate"/>
        </w:r>
        <w:r w:rsidR="00C613D1">
          <w:rPr>
            <w:webHidden/>
          </w:rPr>
          <w:t>5</w:t>
        </w:r>
        <w:r w:rsidRPr="002432ED">
          <w:rPr>
            <w:webHidden/>
          </w:rPr>
          <w:fldChar w:fldCharType="end"/>
        </w:r>
      </w:hyperlink>
    </w:p>
    <w:p w:rsidR="00567C3E" w:rsidRPr="002432ED" w:rsidRDefault="00335582" w:rsidP="00567C3E">
      <w:pPr>
        <w:pStyle w:val="Spistreci1"/>
        <w:jc w:val="both"/>
      </w:pPr>
      <w:hyperlink w:anchor="_Toc430871984" w:history="1">
        <w:r w:rsidR="00567C3E" w:rsidRPr="002432ED">
          <w:rPr>
            <w:rStyle w:val="Hipercze"/>
          </w:rPr>
          <w:t>Tabela 2. Odległość gmin ORSG Powiatu Brodnickiego od największych miasta regionu</w:t>
        </w:r>
        <w:r w:rsidR="00567C3E" w:rsidRPr="002432ED">
          <w:rPr>
            <w:webHidden/>
          </w:rPr>
          <w:tab/>
        </w:r>
        <w:r w:rsidR="00567C3E" w:rsidRPr="002432ED">
          <w:rPr>
            <w:webHidden/>
          </w:rPr>
          <w:fldChar w:fldCharType="begin"/>
        </w:r>
        <w:r w:rsidR="00567C3E" w:rsidRPr="002432ED">
          <w:rPr>
            <w:webHidden/>
          </w:rPr>
          <w:instrText xml:space="preserve"> PAGEREF _Toc430871984 \h </w:instrText>
        </w:r>
        <w:r w:rsidR="00567C3E" w:rsidRPr="002432ED">
          <w:rPr>
            <w:webHidden/>
          </w:rPr>
        </w:r>
        <w:r w:rsidR="00567C3E" w:rsidRPr="002432ED">
          <w:rPr>
            <w:webHidden/>
          </w:rPr>
          <w:fldChar w:fldCharType="separate"/>
        </w:r>
        <w:r w:rsidR="00C613D1">
          <w:rPr>
            <w:webHidden/>
          </w:rPr>
          <w:t>10</w:t>
        </w:r>
        <w:r w:rsidR="00567C3E" w:rsidRPr="002432ED">
          <w:rPr>
            <w:webHidden/>
          </w:rPr>
          <w:fldChar w:fldCharType="end"/>
        </w:r>
      </w:hyperlink>
    </w:p>
    <w:p w:rsidR="00567C3E" w:rsidRPr="002432ED" w:rsidRDefault="00335582" w:rsidP="00567C3E">
      <w:pPr>
        <w:pStyle w:val="Spistreci1"/>
        <w:jc w:val="both"/>
      </w:pPr>
      <w:hyperlink w:anchor="_Toc430871985" w:history="1">
        <w:r w:rsidR="00567C3E" w:rsidRPr="002432ED">
          <w:rPr>
            <w:rStyle w:val="Hipercze"/>
          </w:rPr>
          <w:t>Tabela 3. Liczba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_Toc430871985 \h </w:instrText>
        </w:r>
        <w:r w:rsidR="00567C3E" w:rsidRPr="002432ED">
          <w:rPr>
            <w:webHidden/>
          </w:rPr>
        </w:r>
        <w:r w:rsidR="00567C3E" w:rsidRPr="002432ED">
          <w:rPr>
            <w:webHidden/>
          </w:rPr>
          <w:fldChar w:fldCharType="separate"/>
        </w:r>
        <w:r w:rsidR="00C613D1">
          <w:rPr>
            <w:webHidden/>
          </w:rPr>
          <w:t>11</w:t>
        </w:r>
        <w:r w:rsidR="00567C3E" w:rsidRPr="002432ED">
          <w:rPr>
            <w:webHidden/>
          </w:rPr>
          <w:fldChar w:fldCharType="end"/>
        </w:r>
      </w:hyperlink>
    </w:p>
    <w:p w:rsidR="00567C3E" w:rsidRPr="002432ED" w:rsidRDefault="00335582" w:rsidP="00567C3E">
      <w:pPr>
        <w:pStyle w:val="Spistreci1"/>
        <w:jc w:val="both"/>
      </w:pPr>
      <w:hyperlink w:anchor="_Toc430871986" w:history="1">
        <w:r w:rsidR="00567C3E" w:rsidRPr="002432ED">
          <w:rPr>
            <w:rStyle w:val="Hipercze"/>
          </w:rPr>
          <w:t>Tabela 4. Zmiana liczby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_Toc430871986 \h </w:instrText>
        </w:r>
        <w:r w:rsidR="00567C3E" w:rsidRPr="002432ED">
          <w:rPr>
            <w:webHidden/>
          </w:rPr>
        </w:r>
        <w:r w:rsidR="00567C3E" w:rsidRPr="002432ED">
          <w:rPr>
            <w:webHidden/>
          </w:rPr>
          <w:fldChar w:fldCharType="separate"/>
        </w:r>
        <w:r w:rsidR="00C613D1">
          <w:rPr>
            <w:webHidden/>
          </w:rPr>
          <w:t>11</w:t>
        </w:r>
        <w:r w:rsidR="00567C3E" w:rsidRPr="002432ED">
          <w:rPr>
            <w:webHidden/>
          </w:rPr>
          <w:fldChar w:fldCharType="end"/>
        </w:r>
      </w:hyperlink>
    </w:p>
    <w:p w:rsidR="00567C3E" w:rsidRPr="002432ED" w:rsidRDefault="00335582" w:rsidP="00567C3E">
      <w:pPr>
        <w:pStyle w:val="Spistreci1"/>
        <w:jc w:val="both"/>
      </w:pPr>
      <w:hyperlink w:anchor="_Toc430871987" w:history="1">
        <w:r w:rsidR="00567C3E" w:rsidRPr="002432ED">
          <w:rPr>
            <w:rStyle w:val="Hipercze"/>
          </w:rPr>
          <w:t>Tabela 5. Obciążenie demograficzne i struktura ludności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_Toc430871987 \h </w:instrText>
        </w:r>
        <w:r w:rsidR="00567C3E" w:rsidRPr="002432ED">
          <w:rPr>
            <w:webHidden/>
          </w:rPr>
        </w:r>
        <w:r w:rsidR="00567C3E" w:rsidRPr="002432ED">
          <w:rPr>
            <w:webHidden/>
          </w:rPr>
          <w:fldChar w:fldCharType="separate"/>
        </w:r>
        <w:r w:rsidR="00C613D1">
          <w:rPr>
            <w:webHidden/>
          </w:rPr>
          <w:t>14</w:t>
        </w:r>
        <w:r w:rsidR="00567C3E" w:rsidRPr="002432ED">
          <w:rPr>
            <w:webHidden/>
          </w:rPr>
          <w:fldChar w:fldCharType="end"/>
        </w:r>
      </w:hyperlink>
    </w:p>
    <w:p w:rsidR="00567C3E" w:rsidRPr="002432ED" w:rsidRDefault="00335582" w:rsidP="00567C3E">
      <w:pPr>
        <w:pStyle w:val="Spistreci1"/>
        <w:jc w:val="both"/>
      </w:pPr>
      <w:hyperlink w:anchor="_Toc430871988" w:history="1">
        <w:r w:rsidR="00567C3E" w:rsidRPr="002432ED">
          <w:rPr>
            <w:rStyle w:val="Hipercze"/>
          </w:rPr>
          <w:t>Tabela 6. Obciążenie demograficzne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_Toc430871988 \h </w:instrText>
        </w:r>
        <w:r w:rsidR="00567C3E" w:rsidRPr="002432ED">
          <w:rPr>
            <w:webHidden/>
          </w:rPr>
        </w:r>
        <w:r w:rsidR="00567C3E" w:rsidRPr="002432ED">
          <w:rPr>
            <w:webHidden/>
          </w:rPr>
          <w:fldChar w:fldCharType="separate"/>
        </w:r>
        <w:r w:rsidR="00C613D1">
          <w:rPr>
            <w:webHidden/>
          </w:rPr>
          <w:t>14</w:t>
        </w:r>
        <w:r w:rsidR="00567C3E" w:rsidRPr="002432ED">
          <w:rPr>
            <w:webHidden/>
          </w:rPr>
          <w:fldChar w:fldCharType="end"/>
        </w:r>
      </w:hyperlink>
    </w:p>
    <w:p w:rsidR="00567C3E" w:rsidRPr="002432ED" w:rsidRDefault="00335582" w:rsidP="00567C3E">
      <w:pPr>
        <w:pStyle w:val="Spistreci1"/>
        <w:jc w:val="both"/>
      </w:pPr>
      <w:hyperlink w:anchor="_Toc430871989" w:history="1">
        <w:r w:rsidR="00567C3E" w:rsidRPr="002432ED">
          <w:rPr>
            <w:rStyle w:val="Hipercze"/>
          </w:rPr>
          <w:t>Tabela 7. Prognoza liczby ludności w poszczególnych powiatach województwa kujawsko-pomorskiego</w:t>
        </w:r>
        <w:r w:rsidR="00567C3E" w:rsidRPr="002432ED">
          <w:rPr>
            <w:webHidden/>
          </w:rPr>
          <w:tab/>
        </w:r>
        <w:r w:rsidR="00567C3E" w:rsidRPr="002432ED">
          <w:rPr>
            <w:webHidden/>
          </w:rPr>
          <w:fldChar w:fldCharType="begin"/>
        </w:r>
        <w:r w:rsidR="00567C3E" w:rsidRPr="002432ED">
          <w:rPr>
            <w:webHidden/>
          </w:rPr>
          <w:instrText xml:space="preserve"> PAGEREF _Toc430871989 \h </w:instrText>
        </w:r>
        <w:r w:rsidR="00567C3E" w:rsidRPr="002432ED">
          <w:rPr>
            <w:webHidden/>
          </w:rPr>
        </w:r>
        <w:r w:rsidR="00567C3E" w:rsidRPr="002432ED">
          <w:rPr>
            <w:webHidden/>
          </w:rPr>
          <w:fldChar w:fldCharType="separate"/>
        </w:r>
        <w:r w:rsidR="00C613D1">
          <w:rPr>
            <w:webHidden/>
          </w:rPr>
          <w:t>16</w:t>
        </w:r>
        <w:r w:rsidR="00567C3E" w:rsidRPr="002432ED">
          <w:rPr>
            <w:webHidden/>
          </w:rPr>
          <w:fldChar w:fldCharType="end"/>
        </w:r>
      </w:hyperlink>
    </w:p>
    <w:p w:rsidR="00567C3E" w:rsidRPr="002432ED" w:rsidRDefault="00335582" w:rsidP="00567C3E">
      <w:pPr>
        <w:pStyle w:val="Spistreci1"/>
        <w:jc w:val="both"/>
      </w:pPr>
      <w:hyperlink w:anchor="_Toc430871990" w:history="1">
        <w:r w:rsidR="00567C3E" w:rsidRPr="002432ED">
          <w:rPr>
            <w:rStyle w:val="Hipercze"/>
          </w:rPr>
          <w:t>Tabela 8. Liczba podmiotów gospodarki narodowej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_Toc430871990 \h </w:instrText>
        </w:r>
        <w:r w:rsidR="00567C3E" w:rsidRPr="002432ED">
          <w:rPr>
            <w:webHidden/>
          </w:rPr>
        </w:r>
        <w:r w:rsidR="00567C3E" w:rsidRPr="002432ED">
          <w:rPr>
            <w:webHidden/>
          </w:rPr>
          <w:fldChar w:fldCharType="separate"/>
        </w:r>
        <w:r w:rsidR="00C613D1">
          <w:rPr>
            <w:webHidden/>
          </w:rPr>
          <w:t>20</w:t>
        </w:r>
        <w:r w:rsidR="00567C3E" w:rsidRPr="002432ED">
          <w:rPr>
            <w:webHidden/>
          </w:rPr>
          <w:fldChar w:fldCharType="end"/>
        </w:r>
      </w:hyperlink>
    </w:p>
    <w:p w:rsidR="00567C3E" w:rsidRPr="002432ED" w:rsidRDefault="00335582" w:rsidP="00567C3E">
      <w:pPr>
        <w:pStyle w:val="Spistreci1"/>
        <w:jc w:val="both"/>
      </w:pPr>
      <w:hyperlink w:anchor="_Toc430871991" w:history="1">
        <w:r w:rsidR="00567C3E" w:rsidRPr="002432ED">
          <w:rPr>
            <w:rStyle w:val="Hipercze"/>
          </w:rPr>
          <w:t>Tabela 9. Struktura podmiotów gospodarczych na ORSG Powiatu Brodnickiego w 2013 r. ze względu na wielkość zatrudnienia</w:t>
        </w:r>
        <w:r w:rsidR="00567C3E" w:rsidRPr="002432ED">
          <w:rPr>
            <w:webHidden/>
          </w:rPr>
          <w:tab/>
        </w:r>
        <w:r w:rsidR="00567C3E" w:rsidRPr="002432ED">
          <w:rPr>
            <w:webHidden/>
          </w:rPr>
          <w:fldChar w:fldCharType="begin"/>
        </w:r>
        <w:r w:rsidR="00567C3E" w:rsidRPr="002432ED">
          <w:rPr>
            <w:webHidden/>
          </w:rPr>
          <w:instrText xml:space="preserve"> PAGEREF _Toc430871991 \h </w:instrText>
        </w:r>
        <w:r w:rsidR="00567C3E" w:rsidRPr="002432ED">
          <w:rPr>
            <w:webHidden/>
          </w:rPr>
        </w:r>
        <w:r w:rsidR="00567C3E" w:rsidRPr="002432ED">
          <w:rPr>
            <w:webHidden/>
          </w:rPr>
          <w:fldChar w:fldCharType="separate"/>
        </w:r>
        <w:r w:rsidR="00C613D1">
          <w:rPr>
            <w:webHidden/>
          </w:rPr>
          <w:t>21</w:t>
        </w:r>
        <w:r w:rsidR="00567C3E" w:rsidRPr="002432ED">
          <w:rPr>
            <w:webHidden/>
          </w:rPr>
          <w:fldChar w:fldCharType="end"/>
        </w:r>
      </w:hyperlink>
    </w:p>
    <w:p w:rsidR="00567C3E" w:rsidRPr="002432ED" w:rsidRDefault="00335582" w:rsidP="00567C3E">
      <w:pPr>
        <w:pStyle w:val="Spistreci1"/>
        <w:jc w:val="both"/>
      </w:pPr>
      <w:hyperlink w:anchor="_Toc430871992" w:history="1">
        <w:r w:rsidR="00567C3E" w:rsidRPr="002432ED">
          <w:rPr>
            <w:rStyle w:val="Hipercze"/>
          </w:rPr>
          <w:t>Tabela 10. Liczba i wartość podpisanych umów w ramach Programu Innowacyjna Gospodarka 2007-2013</w:t>
        </w:r>
        <w:r w:rsidR="00567C3E" w:rsidRPr="002432ED">
          <w:rPr>
            <w:webHidden/>
          </w:rPr>
          <w:tab/>
        </w:r>
        <w:r w:rsidR="00567C3E" w:rsidRPr="002432ED">
          <w:rPr>
            <w:webHidden/>
          </w:rPr>
          <w:fldChar w:fldCharType="begin"/>
        </w:r>
        <w:r w:rsidR="00567C3E" w:rsidRPr="002432ED">
          <w:rPr>
            <w:webHidden/>
          </w:rPr>
          <w:instrText xml:space="preserve"> PAGEREF _Toc430871992 \h </w:instrText>
        </w:r>
        <w:r w:rsidR="00567C3E" w:rsidRPr="002432ED">
          <w:rPr>
            <w:webHidden/>
          </w:rPr>
        </w:r>
        <w:r w:rsidR="00567C3E" w:rsidRPr="002432ED">
          <w:rPr>
            <w:webHidden/>
          </w:rPr>
          <w:fldChar w:fldCharType="separate"/>
        </w:r>
        <w:r w:rsidR="00C613D1">
          <w:rPr>
            <w:webHidden/>
          </w:rPr>
          <w:t>22</w:t>
        </w:r>
        <w:r w:rsidR="00567C3E" w:rsidRPr="002432ED">
          <w:rPr>
            <w:webHidden/>
          </w:rPr>
          <w:fldChar w:fldCharType="end"/>
        </w:r>
      </w:hyperlink>
    </w:p>
    <w:p w:rsidR="00567C3E" w:rsidRPr="002432ED" w:rsidRDefault="00335582" w:rsidP="00567C3E">
      <w:pPr>
        <w:pStyle w:val="Spistreci1"/>
        <w:jc w:val="both"/>
      </w:pPr>
      <w:hyperlink w:anchor="_Toc430871993" w:history="1">
        <w:r w:rsidR="00567C3E" w:rsidRPr="002432ED">
          <w:rPr>
            <w:rStyle w:val="Hipercze"/>
          </w:rPr>
          <w:t>Tabela 11. Bezrobotni wg płci, wykształcenia i czasu pozostawania bez pracy w 2014 r.</w:t>
        </w:r>
        <w:r w:rsidR="00567C3E" w:rsidRPr="002432ED">
          <w:rPr>
            <w:webHidden/>
          </w:rPr>
          <w:tab/>
        </w:r>
        <w:r w:rsidR="00567C3E" w:rsidRPr="002432ED">
          <w:rPr>
            <w:webHidden/>
          </w:rPr>
          <w:fldChar w:fldCharType="begin"/>
        </w:r>
        <w:r w:rsidR="00567C3E" w:rsidRPr="002432ED">
          <w:rPr>
            <w:webHidden/>
          </w:rPr>
          <w:instrText xml:space="preserve"> PAGEREF _Toc430871993 \h </w:instrText>
        </w:r>
        <w:r w:rsidR="00567C3E" w:rsidRPr="002432ED">
          <w:rPr>
            <w:webHidden/>
          </w:rPr>
        </w:r>
        <w:r w:rsidR="00567C3E" w:rsidRPr="002432ED">
          <w:rPr>
            <w:webHidden/>
          </w:rPr>
          <w:fldChar w:fldCharType="separate"/>
        </w:r>
        <w:r w:rsidR="00C613D1">
          <w:rPr>
            <w:webHidden/>
          </w:rPr>
          <w:t>26</w:t>
        </w:r>
        <w:r w:rsidR="00567C3E" w:rsidRPr="002432ED">
          <w:rPr>
            <w:webHidden/>
          </w:rPr>
          <w:fldChar w:fldCharType="end"/>
        </w:r>
      </w:hyperlink>
    </w:p>
    <w:p w:rsidR="00567C3E" w:rsidRPr="002432ED" w:rsidRDefault="00335582" w:rsidP="00567C3E">
      <w:pPr>
        <w:pStyle w:val="Spistreci1"/>
        <w:jc w:val="both"/>
      </w:pPr>
      <w:hyperlink w:anchor="_Toc430871994" w:history="1">
        <w:r w:rsidR="00567C3E" w:rsidRPr="002432ED">
          <w:rPr>
            <w:rStyle w:val="Hipercze"/>
          </w:rPr>
          <w:t>Tabela 12. Zestawienie zawodów deficytowych i nadwyżkowych w powiecie brodnickim w I półroczu 2014 r.</w:t>
        </w:r>
        <w:r w:rsidR="00567C3E" w:rsidRPr="002432ED">
          <w:rPr>
            <w:webHidden/>
          </w:rPr>
          <w:tab/>
        </w:r>
        <w:r w:rsidR="00567C3E" w:rsidRPr="002432ED">
          <w:rPr>
            <w:webHidden/>
          </w:rPr>
          <w:fldChar w:fldCharType="begin"/>
        </w:r>
        <w:r w:rsidR="00567C3E" w:rsidRPr="002432ED">
          <w:rPr>
            <w:webHidden/>
          </w:rPr>
          <w:instrText xml:space="preserve"> PAGEREF _Toc430871994 \h </w:instrText>
        </w:r>
        <w:r w:rsidR="00567C3E" w:rsidRPr="002432ED">
          <w:rPr>
            <w:webHidden/>
          </w:rPr>
        </w:r>
        <w:r w:rsidR="00567C3E" w:rsidRPr="002432ED">
          <w:rPr>
            <w:webHidden/>
          </w:rPr>
          <w:fldChar w:fldCharType="separate"/>
        </w:r>
        <w:r w:rsidR="00C613D1">
          <w:rPr>
            <w:webHidden/>
          </w:rPr>
          <w:t>27</w:t>
        </w:r>
        <w:r w:rsidR="00567C3E" w:rsidRPr="002432ED">
          <w:rPr>
            <w:webHidden/>
          </w:rPr>
          <w:fldChar w:fldCharType="end"/>
        </w:r>
      </w:hyperlink>
    </w:p>
    <w:p w:rsidR="00567C3E" w:rsidRPr="002432ED" w:rsidRDefault="00335582" w:rsidP="00567C3E">
      <w:pPr>
        <w:pStyle w:val="Spistreci1"/>
        <w:jc w:val="both"/>
      </w:pPr>
      <w:hyperlink w:anchor="_Toc430871995" w:history="1">
        <w:r w:rsidR="00567C3E" w:rsidRPr="002432ED">
          <w:rPr>
            <w:rStyle w:val="Hipercze"/>
          </w:rPr>
          <w:t>Tabela 13. Liczba rodzin i liczba osób w rodzinach korzystająca z pomocy społecznej w gminach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_Toc430871995 \h </w:instrText>
        </w:r>
        <w:r w:rsidR="00567C3E" w:rsidRPr="002432ED">
          <w:rPr>
            <w:webHidden/>
          </w:rPr>
        </w:r>
        <w:r w:rsidR="00567C3E" w:rsidRPr="002432ED">
          <w:rPr>
            <w:webHidden/>
          </w:rPr>
          <w:fldChar w:fldCharType="separate"/>
        </w:r>
        <w:r w:rsidR="00C613D1">
          <w:rPr>
            <w:webHidden/>
          </w:rPr>
          <w:t>31</w:t>
        </w:r>
        <w:r w:rsidR="00567C3E" w:rsidRPr="002432ED">
          <w:rPr>
            <w:webHidden/>
          </w:rPr>
          <w:fldChar w:fldCharType="end"/>
        </w:r>
      </w:hyperlink>
    </w:p>
    <w:p w:rsidR="00567C3E" w:rsidRPr="002432ED" w:rsidRDefault="00335582" w:rsidP="00567C3E">
      <w:pPr>
        <w:pStyle w:val="Spistreci1"/>
        <w:jc w:val="both"/>
      </w:pPr>
      <w:hyperlink w:anchor="_Toc430871996" w:history="1">
        <w:r w:rsidR="00567C3E" w:rsidRPr="002432ED">
          <w:rPr>
            <w:rStyle w:val="Hipercze"/>
          </w:rPr>
          <w:t>Tabela 14. Przyczyny korzystania z pomocy społecznej w gminach ORSG Powiatu Brodnickiego w 2014 r. (liczba rodzin)</w:t>
        </w:r>
        <w:r w:rsidR="00567C3E" w:rsidRPr="002432ED">
          <w:rPr>
            <w:webHidden/>
          </w:rPr>
          <w:tab/>
        </w:r>
        <w:r w:rsidR="00567C3E" w:rsidRPr="002432ED">
          <w:rPr>
            <w:webHidden/>
          </w:rPr>
          <w:fldChar w:fldCharType="begin"/>
        </w:r>
        <w:r w:rsidR="00567C3E" w:rsidRPr="002432ED">
          <w:rPr>
            <w:webHidden/>
          </w:rPr>
          <w:instrText xml:space="preserve"> PAGEREF _Toc430871996 \h </w:instrText>
        </w:r>
        <w:r w:rsidR="00567C3E" w:rsidRPr="002432ED">
          <w:rPr>
            <w:webHidden/>
          </w:rPr>
        </w:r>
        <w:r w:rsidR="00567C3E" w:rsidRPr="002432ED">
          <w:rPr>
            <w:webHidden/>
          </w:rPr>
          <w:fldChar w:fldCharType="separate"/>
        </w:r>
        <w:r w:rsidR="00C613D1">
          <w:rPr>
            <w:webHidden/>
          </w:rPr>
          <w:t>32</w:t>
        </w:r>
        <w:r w:rsidR="00567C3E" w:rsidRPr="002432ED">
          <w:rPr>
            <w:webHidden/>
          </w:rPr>
          <w:fldChar w:fldCharType="end"/>
        </w:r>
      </w:hyperlink>
    </w:p>
    <w:p w:rsidR="00567C3E" w:rsidRPr="002432ED" w:rsidRDefault="00335582" w:rsidP="00567C3E">
      <w:pPr>
        <w:pStyle w:val="Spistreci1"/>
        <w:jc w:val="both"/>
      </w:pPr>
      <w:hyperlink w:anchor="_Toc430871997" w:history="1">
        <w:r w:rsidR="00567C3E" w:rsidRPr="002432ED">
          <w:rPr>
            <w:rStyle w:val="Hipercze"/>
          </w:rPr>
          <w:t>Tabela 15. Liczba asystentów rodziny zatrudnionych w MOPS i GOPS na terenie ORSG (stan na wrzesień 2015 r.)</w:t>
        </w:r>
        <w:r w:rsidR="00567C3E" w:rsidRPr="002432ED">
          <w:rPr>
            <w:webHidden/>
          </w:rPr>
          <w:tab/>
        </w:r>
        <w:r w:rsidR="00567C3E" w:rsidRPr="002432ED">
          <w:rPr>
            <w:webHidden/>
          </w:rPr>
          <w:fldChar w:fldCharType="begin"/>
        </w:r>
        <w:r w:rsidR="00567C3E" w:rsidRPr="002432ED">
          <w:rPr>
            <w:webHidden/>
          </w:rPr>
          <w:instrText xml:space="preserve"> PAGEREF _Toc430871997 \h </w:instrText>
        </w:r>
        <w:r w:rsidR="00567C3E" w:rsidRPr="002432ED">
          <w:rPr>
            <w:webHidden/>
          </w:rPr>
        </w:r>
        <w:r w:rsidR="00567C3E" w:rsidRPr="002432ED">
          <w:rPr>
            <w:webHidden/>
          </w:rPr>
          <w:fldChar w:fldCharType="separate"/>
        </w:r>
        <w:r w:rsidR="00C613D1">
          <w:rPr>
            <w:webHidden/>
          </w:rPr>
          <w:t>33</w:t>
        </w:r>
        <w:r w:rsidR="00567C3E" w:rsidRPr="002432ED">
          <w:rPr>
            <w:webHidden/>
          </w:rPr>
          <w:fldChar w:fldCharType="end"/>
        </w:r>
      </w:hyperlink>
    </w:p>
    <w:p w:rsidR="00567C3E" w:rsidRPr="002432ED" w:rsidRDefault="00335582" w:rsidP="00567C3E">
      <w:pPr>
        <w:pStyle w:val="Spistreci1"/>
        <w:jc w:val="both"/>
      </w:pPr>
      <w:hyperlink w:anchor="_Toc430871998" w:history="1">
        <w:r w:rsidR="00567C3E" w:rsidRPr="002432ED">
          <w:rPr>
            <w:rStyle w:val="Hipercze"/>
          </w:rPr>
          <w:t>Tabela 16. Rodzinna piecza zastępcza i placówki opiekuńczo-wychowawcze dla dzieci i młodzieży na terenie ORSG Powiatu Brodnickiego w 2014 r.</w:t>
        </w:r>
        <w:r w:rsidR="00567C3E" w:rsidRPr="002432ED">
          <w:rPr>
            <w:webHidden/>
          </w:rPr>
          <w:tab/>
        </w:r>
        <w:r w:rsidR="00567C3E" w:rsidRPr="002432ED">
          <w:rPr>
            <w:webHidden/>
          </w:rPr>
          <w:fldChar w:fldCharType="begin"/>
        </w:r>
        <w:r w:rsidR="00567C3E" w:rsidRPr="002432ED">
          <w:rPr>
            <w:webHidden/>
          </w:rPr>
          <w:instrText xml:space="preserve"> PAGEREF _Toc430871998 \h </w:instrText>
        </w:r>
        <w:r w:rsidR="00567C3E" w:rsidRPr="002432ED">
          <w:rPr>
            <w:webHidden/>
          </w:rPr>
        </w:r>
        <w:r w:rsidR="00567C3E" w:rsidRPr="002432ED">
          <w:rPr>
            <w:webHidden/>
          </w:rPr>
          <w:fldChar w:fldCharType="separate"/>
        </w:r>
        <w:r w:rsidR="00C613D1">
          <w:rPr>
            <w:webHidden/>
          </w:rPr>
          <w:t>34</w:t>
        </w:r>
        <w:r w:rsidR="00567C3E" w:rsidRPr="002432ED">
          <w:rPr>
            <w:webHidden/>
          </w:rPr>
          <w:fldChar w:fldCharType="end"/>
        </w:r>
      </w:hyperlink>
    </w:p>
    <w:p w:rsidR="00567C3E" w:rsidRPr="002432ED" w:rsidRDefault="00335582" w:rsidP="00567C3E">
      <w:pPr>
        <w:pStyle w:val="Spistreci1"/>
        <w:jc w:val="both"/>
      </w:pPr>
      <w:hyperlink w:anchor="_Toc430871999" w:history="1">
        <w:r w:rsidR="00567C3E" w:rsidRPr="002432ED">
          <w:rPr>
            <w:rStyle w:val="Hipercze"/>
          </w:rPr>
          <w:t>Tabela 17. Liczba orzeczeń o niepełnosprawności i stopniu niepełnosprawności wydanych na terenie ORSG Powiatu Brodnickiego przez Powiatowy Zespół do Spraw Orzekania o Niepełnosprawności w 2014 r.</w:t>
        </w:r>
        <w:r w:rsidR="00567C3E" w:rsidRPr="002432ED">
          <w:rPr>
            <w:webHidden/>
          </w:rPr>
          <w:tab/>
        </w:r>
        <w:r w:rsidR="00567C3E" w:rsidRPr="002432ED">
          <w:rPr>
            <w:webHidden/>
          </w:rPr>
          <w:fldChar w:fldCharType="begin"/>
        </w:r>
        <w:r w:rsidR="00567C3E" w:rsidRPr="002432ED">
          <w:rPr>
            <w:webHidden/>
          </w:rPr>
          <w:instrText xml:space="preserve"> PAGEREF _Toc430871999 \h </w:instrText>
        </w:r>
        <w:r w:rsidR="00567C3E" w:rsidRPr="002432ED">
          <w:rPr>
            <w:webHidden/>
          </w:rPr>
        </w:r>
        <w:r w:rsidR="00567C3E" w:rsidRPr="002432ED">
          <w:rPr>
            <w:webHidden/>
          </w:rPr>
          <w:fldChar w:fldCharType="separate"/>
        </w:r>
        <w:r w:rsidR="00C613D1">
          <w:rPr>
            <w:webHidden/>
          </w:rPr>
          <w:t>36</w:t>
        </w:r>
        <w:r w:rsidR="00567C3E" w:rsidRPr="002432ED">
          <w:rPr>
            <w:webHidden/>
          </w:rPr>
          <w:fldChar w:fldCharType="end"/>
        </w:r>
      </w:hyperlink>
    </w:p>
    <w:p w:rsidR="00567C3E" w:rsidRPr="002432ED" w:rsidRDefault="00335582" w:rsidP="00567C3E">
      <w:pPr>
        <w:pStyle w:val="Spistreci1"/>
        <w:jc w:val="both"/>
      </w:pPr>
      <w:hyperlink w:anchor="_Toc430872000" w:history="1">
        <w:r w:rsidR="00567C3E" w:rsidRPr="002432ED">
          <w:rPr>
            <w:rStyle w:val="Hipercze"/>
          </w:rPr>
          <w:t>Tabela 18. Liczba osób bezdomnych w 2014 roku</w:t>
        </w:r>
        <w:r w:rsidR="00567C3E" w:rsidRPr="002432ED">
          <w:rPr>
            <w:webHidden/>
          </w:rPr>
          <w:tab/>
        </w:r>
        <w:r w:rsidR="00567C3E" w:rsidRPr="002432ED">
          <w:rPr>
            <w:webHidden/>
          </w:rPr>
          <w:fldChar w:fldCharType="begin"/>
        </w:r>
        <w:r w:rsidR="00567C3E" w:rsidRPr="002432ED">
          <w:rPr>
            <w:webHidden/>
          </w:rPr>
          <w:instrText xml:space="preserve"> PAGEREF _Toc430872000 \h </w:instrText>
        </w:r>
        <w:r w:rsidR="00567C3E" w:rsidRPr="002432ED">
          <w:rPr>
            <w:webHidden/>
          </w:rPr>
        </w:r>
        <w:r w:rsidR="00567C3E" w:rsidRPr="002432ED">
          <w:rPr>
            <w:webHidden/>
          </w:rPr>
          <w:fldChar w:fldCharType="separate"/>
        </w:r>
        <w:r w:rsidR="00C613D1">
          <w:rPr>
            <w:webHidden/>
          </w:rPr>
          <w:t>38</w:t>
        </w:r>
        <w:r w:rsidR="00567C3E" w:rsidRPr="002432ED">
          <w:rPr>
            <w:webHidden/>
          </w:rPr>
          <w:fldChar w:fldCharType="end"/>
        </w:r>
      </w:hyperlink>
    </w:p>
    <w:p w:rsidR="00567C3E" w:rsidRPr="002432ED" w:rsidRDefault="00335582" w:rsidP="00567C3E">
      <w:pPr>
        <w:pStyle w:val="Spistreci1"/>
        <w:jc w:val="both"/>
      </w:pPr>
      <w:hyperlink w:anchor="_Toc430872001" w:history="1">
        <w:r w:rsidR="00567C3E" w:rsidRPr="002432ED">
          <w:rPr>
            <w:rStyle w:val="Hipercze"/>
          </w:rPr>
          <w:t>Tabela 19. Ambulatoryjna opieka zdrowotna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_Toc430872001 \h </w:instrText>
        </w:r>
        <w:r w:rsidR="00567C3E" w:rsidRPr="002432ED">
          <w:rPr>
            <w:webHidden/>
          </w:rPr>
        </w:r>
        <w:r w:rsidR="00567C3E" w:rsidRPr="002432ED">
          <w:rPr>
            <w:webHidden/>
          </w:rPr>
          <w:fldChar w:fldCharType="separate"/>
        </w:r>
        <w:r w:rsidR="00C613D1">
          <w:rPr>
            <w:webHidden/>
          </w:rPr>
          <w:t>40</w:t>
        </w:r>
        <w:r w:rsidR="00567C3E" w:rsidRPr="002432ED">
          <w:rPr>
            <w:webHidden/>
          </w:rPr>
          <w:fldChar w:fldCharType="end"/>
        </w:r>
      </w:hyperlink>
    </w:p>
    <w:p w:rsidR="00567C3E" w:rsidRPr="002432ED" w:rsidRDefault="00335582" w:rsidP="00567C3E">
      <w:pPr>
        <w:pStyle w:val="Spistreci1"/>
        <w:jc w:val="both"/>
      </w:pPr>
      <w:hyperlink w:anchor="_Toc430872002" w:history="1">
        <w:r w:rsidR="00567C3E" w:rsidRPr="002432ED">
          <w:rPr>
            <w:rStyle w:val="Hipercze"/>
          </w:rPr>
          <w:t>Tabela 20. Edukacja przedszkolna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_Toc430872002 \h </w:instrText>
        </w:r>
        <w:r w:rsidR="00567C3E" w:rsidRPr="002432ED">
          <w:rPr>
            <w:webHidden/>
          </w:rPr>
        </w:r>
        <w:r w:rsidR="00567C3E" w:rsidRPr="002432ED">
          <w:rPr>
            <w:webHidden/>
          </w:rPr>
          <w:fldChar w:fldCharType="separate"/>
        </w:r>
        <w:r w:rsidR="00C613D1">
          <w:rPr>
            <w:webHidden/>
          </w:rPr>
          <w:t>43</w:t>
        </w:r>
        <w:r w:rsidR="00567C3E" w:rsidRPr="002432ED">
          <w:rPr>
            <w:webHidden/>
          </w:rPr>
          <w:fldChar w:fldCharType="end"/>
        </w:r>
      </w:hyperlink>
    </w:p>
    <w:p w:rsidR="00567C3E" w:rsidRPr="002432ED" w:rsidRDefault="00335582" w:rsidP="00567C3E">
      <w:pPr>
        <w:pStyle w:val="Spistreci1"/>
        <w:jc w:val="both"/>
      </w:pPr>
      <w:hyperlink w:anchor="_Toc430872003" w:history="1">
        <w:r w:rsidR="00567C3E" w:rsidRPr="002432ED">
          <w:rPr>
            <w:rStyle w:val="Hipercze"/>
          </w:rPr>
          <w:t>Tabela 21. Szkolnictwo podstawowe i gimnazjalne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_Toc430872003 \h </w:instrText>
        </w:r>
        <w:r w:rsidR="00567C3E" w:rsidRPr="002432ED">
          <w:rPr>
            <w:webHidden/>
          </w:rPr>
        </w:r>
        <w:r w:rsidR="00567C3E" w:rsidRPr="002432ED">
          <w:rPr>
            <w:webHidden/>
          </w:rPr>
          <w:fldChar w:fldCharType="separate"/>
        </w:r>
        <w:r w:rsidR="00C613D1">
          <w:rPr>
            <w:webHidden/>
          </w:rPr>
          <w:t>45</w:t>
        </w:r>
        <w:r w:rsidR="00567C3E" w:rsidRPr="002432ED">
          <w:rPr>
            <w:webHidden/>
          </w:rPr>
          <w:fldChar w:fldCharType="end"/>
        </w:r>
      </w:hyperlink>
    </w:p>
    <w:p w:rsidR="00567C3E" w:rsidRPr="002432ED" w:rsidRDefault="00335582" w:rsidP="00567C3E">
      <w:pPr>
        <w:pStyle w:val="Spistreci1"/>
        <w:jc w:val="both"/>
      </w:pPr>
      <w:hyperlink w:anchor="_Toc430872004" w:history="1">
        <w:r w:rsidR="00567C3E" w:rsidRPr="002432ED">
          <w:rPr>
            <w:rStyle w:val="Hipercze"/>
          </w:rPr>
          <w:t>Tabela 22. Szkolnictwo ponadgimnazjalne dla młodzieży na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_Toc430872004 \h </w:instrText>
        </w:r>
        <w:r w:rsidR="00567C3E" w:rsidRPr="002432ED">
          <w:rPr>
            <w:webHidden/>
          </w:rPr>
        </w:r>
        <w:r w:rsidR="00567C3E" w:rsidRPr="002432ED">
          <w:rPr>
            <w:webHidden/>
          </w:rPr>
          <w:fldChar w:fldCharType="separate"/>
        </w:r>
        <w:r w:rsidR="00C613D1">
          <w:rPr>
            <w:webHidden/>
          </w:rPr>
          <w:t>46</w:t>
        </w:r>
        <w:r w:rsidR="00567C3E" w:rsidRPr="002432ED">
          <w:rPr>
            <w:webHidden/>
          </w:rPr>
          <w:fldChar w:fldCharType="end"/>
        </w:r>
      </w:hyperlink>
    </w:p>
    <w:p w:rsidR="00567C3E" w:rsidRPr="002432ED" w:rsidRDefault="00335582" w:rsidP="00567C3E">
      <w:pPr>
        <w:pStyle w:val="Spistreci1"/>
        <w:jc w:val="both"/>
      </w:pPr>
      <w:hyperlink w:anchor="_Toc430872005" w:history="1">
        <w:r w:rsidR="00567C3E" w:rsidRPr="002432ED">
          <w:rPr>
            <w:rStyle w:val="Hipercze"/>
          </w:rPr>
          <w:t>Tabela 23. Liczba uczniów w technikach dla młodzieży w roku szkolnym 2012/2013</w:t>
        </w:r>
        <w:r w:rsidR="00567C3E" w:rsidRPr="002432ED">
          <w:rPr>
            <w:webHidden/>
          </w:rPr>
          <w:tab/>
        </w:r>
        <w:r w:rsidR="00567C3E" w:rsidRPr="002432ED">
          <w:rPr>
            <w:webHidden/>
          </w:rPr>
          <w:fldChar w:fldCharType="begin"/>
        </w:r>
        <w:r w:rsidR="00567C3E" w:rsidRPr="002432ED">
          <w:rPr>
            <w:webHidden/>
          </w:rPr>
          <w:instrText xml:space="preserve"> PAGEREF _Toc430872005 \h </w:instrText>
        </w:r>
        <w:r w:rsidR="00567C3E" w:rsidRPr="002432ED">
          <w:rPr>
            <w:webHidden/>
          </w:rPr>
        </w:r>
        <w:r w:rsidR="00567C3E" w:rsidRPr="002432ED">
          <w:rPr>
            <w:webHidden/>
          </w:rPr>
          <w:fldChar w:fldCharType="separate"/>
        </w:r>
        <w:r w:rsidR="00C613D1">
          <w:rPr>
            <w:webHidden/>
          </w:rPr>
          <w:t>48</w:t>
        </w:r>
        <w:r w:rsidR="00567C3E" w:rsidRPr="002432ED">
          <w:rPr>
            <w:webHidden/>
          </w:rPr>
          <w:fldChar w:fldCharType="end"/>
        </w:r>
      </w:hyperlink>
    </w:p>
    <w:p w:rsidR="00567C3E" w:rsidRPr="002432ED" w:rsidRDefault="00335582" w:rsidP="00567C3E">
      <w:pPr>
        <w:pStyle w:val="Spistreci1"/>
        <w:jc w:val="both"/>
      </w:pPr>
      <w:hyperlink w:anchor="_Toc430872006" w:history="1">
        <w:r w:rsidR="00567C3E" w:rsidRPr="002432ED">
          <w:rPr>
            <w:rStyle w:val="Hipercze"/>
          </w:rPr>
          <w:t>Tabela 24. Liczba uczniów w poszczególnych zawodach zasadniczych szkół zawodowych w 2012/2013</w:t>
        </w:r>
        <w:r w:rsidR="00567C3E" w:rsidRPr="002432ED">
          <w:rPr>
            <w:webHidden/>
          </w:rPr>
          <w:tab/>
        </w:r>
        <w:r w:rsidR="00567C3E" w:rsidRPr="002432ED">
          <w:rPr>
            <w:webHidden/>
          </w:rPr>
          <w:fldChar w:fldCharType="begin"/>
        </w:r>
        <w:r w:rsidR="00567C3E" w:rsidRPr="002432ED">
          <w:rPr>
            <w:webHidden/>
          </w:rPr>
          <w:instrText xml:space="preserve"> PAGEREF _Toc430872006 \h </w:instrText>
        </w:r>
        <w:r w:rsidR="00567C3E" w:rsidRPr="002432ED">
          <w:rPr>
            <w:webHidden/>
          </w:rPr>
        </w:r>
        <w:r w:rsidR="00567C3E" w:rsidRPr="002432ED">
          <w:rPr>
            <w:webHidden/>
          </w:rPr>
          <w:fldChar w:fldCharType="separate"/>
        </w:r>
        <w:r w:rsidR="00C613D1">
          <w:rPr>
            <w:webHidden/>
          </w:rPr>
          <w:t>49</w:t>
        </w:r>
        <w:r w:rsidR="00567C3E" w:rsidRPr="002432ED">
          <w:rPr>
            <w:webHidden/>
          </w:rPr>
          <w:fldChar w:fldCharType="end"/>
        </w:r>
      </w:hyperlink>
    </w:p>
    <w:p w:rsidR="00567C3E" w:rsidRPr="002432ED" w:rsidRDefault="00335582" w:rsidP="00567C3E">
      <w:pPr>
        <w:pStyle w:val="Spistreci1"/>
        <w:jc w:val="both"/>
      </w:pPr>
      <w:hyperlink w:anchor="_Toc430872007" w:history="1">
        <w:r w:rsidR="00567C3E" w:rsidRPr="002432ED">
          <w:rPr>
            <w:rStyle w:val="Hipercze"/>
          </w:rPr>
          <w:t>Tabela 25. Zestawienie instytucji kultury w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_Toc430872007 \h </w:instrText>
        </w:r>
        <w:r w:rsidR="00567C3E" w:rsidRPr="002432ED">
          <w:rPr>
            <w:webHidden/>
          </w:rPr>
        </w:r>
        <w:r w:rsidR="00567C3E" w:rsidRPr="002432ED">
          <w:rPr>
            <w:webHidden/>
          </w:rPr>
          <w:fldChar w:fldCharType="separate"/>
        </w:r>
        <w:r w:rsidR="00C613D1">
          <w:rPr>
            <w:webHidden/>
          </w:rPr>
          <w:t>53</w:t>
        </w:r>
        <w:r w:rsidR="00567C3E" w:rsidRPr="002432ED">
          <w:rPr>
            <w:webHidden/>
          </w:rPr>
          <w:fldChar w:fldCharType="end"/>
        </w:r>
      </w:hyperlink>
    </w:p>
    <w:p w:rsidR="00567C3E" w:rsidRPr="002432ED" w:rsidRDefault="00335582" w:rsidP="00567C3E">
      <w:pPr>
        <w:pStyle w:val="Spistreci1"/>
        <w:jc w:val="both"/>
      </w:pPr>
      <w:hyperlink w:anchor="_Toc430872008" w:history="1">
        <w:r w:rsidR="00567C3E" w:rsidRPr="002432ED">
          <w:rPr>
            <w:rStyle w:val="Hipercze"/>
          </w:rPr>
          <w:t>Tabela 26. Obiekty dziedzictwa kulturowego, ujęte w rejestrze zabytków nieruchomych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_Toc430872008 \h </w:instrText>
        </w:r>
        <w:r w:rsidR="00567C3E" w:rsidRPr="002432ED">
          <w:rPr>
            <w:webHidden/>
          </w:rPr>
        </w:r>
        <w:r w:rsidR="00567C3E" w:rsidRPr="002432ED">
          <w:rPr>
            <w:webHidden/>
          </w:rPr>
          <w:fldChar w:fldCharType="separate"/>
        </w:r>
        <w:r w:rsidR="00C613D1">
          <w:rPr>
            <w:webHidden/>
          </w:rPr>
          <w:t>54</w:t>
        </w:r>
        <w:r w:rsidR="00567C3E" w:rsidRPr="002432ED">
          <w:rPr>
            <w:webHidden/>
          </w:rPr>
          <w:fldChar w:fldCharType="end"/>
        </w:r>
      </w:hyperlink>
    </w:p>
    <w:p w:rsidR="00567C3E" w:rsidRPr="002432ED" w:rsidRDefault="00335582" w:rsidP="00567C3E">
      <w:pPr>
        <w:pStyle w:val="Spistreci1"/>
        <w:jc w:val="both"/>
      </w:pPr>
      <w:hyperlink w:anchor="_Toc430872009" w:history="1">
        <w:r w:rsidR="00567C3E" w:rsidRPr="002432ED">
          <w:rPr>
            <w:rStyle w:val="Hipercze"/>
          </w:rPr>
          <w:t>Tabela 27. Obszary problemowe wskazane do rewitalizacji</w:t>
        </w:r>
        <w:r w:rsidR="00567C3E" w:rsidRPr="002432ED">
          <w:rPr>
            <w:webHidden/>
          </w:rPr>
          <w:tab/>
        </w:r>
        <w:r w:rsidR="00567C3E" w:rsidRPr="002432ED">
          <w:rPr>
            <w:webHidden/>
          </w:rPr>
          <w:fldChar w:fldCharType="begin"/>
        </w:r>
        <w:r w:rsidR="00567C3E" w:rsidRPr="002432ED">
          <w:rPr>
            <w:webHidden/>
          </w:rPr>
          <w:instrText xml:space="preserve"> PAGEREF _Toc430872009 \h </w:instrText>
        </w:r>
        <w:r w:rsidR="00567C3E" w:rsidRPr="002432ED">
          <w:rPr>
            <w:webHidden/>
          </w:rPr>
        </w:r>
        <w:r w:rsidR="00567C3E" w:rsidRPr="002432ED">
          <w:rPr>
            <w:webHidden/>
          </w:rPr>
          <w:fldChar w:fldCharType="separate"/>
        </w:r>
        <w:r w:rsidR="00C613D1">
          <w:rPr>
            <w:webHidden/>
          </w:rPr>
          <w:t>55</w:t>
        </w:r>
        <w:r w:rsidR="00567C3E" w:rsidRPr="002432ED">
          <w:rPr>
            <w:webHidden/>
          </w:rPr>
          <w:fldChar w:fldCharType="end"/>
        </w:r>
      </w:hyperlink>
    </w:p>
    <w:p w:rsidR="00567C3E" w:rsidRPr="002432ED" w:rsidRDefault="00335582" w:rsidP="00567C3E">
      <w:pPr>
        <w:pStyle w:val="Spistreci1"/>
        <w:jc w:val="both"/>
      </w:pPr>
      <w:hyperlink w:anchor="_Toc430872010" w:history="1">
        <w:r w:rsidR="00567C3E" w:rsidRPr="002432ED">
          <w:rPr>
            <w:rStyle w:val="Hipercze"/>
          </w:rPr>
          <w:t>Tabela 28. Długość ścieżek rowerowych na terenie ORSG Powiatu Brodnickiego w 2015 r.</w:t>
        </w:r>
        <w:r w:rsidR="00567C3E" w:rsidRPr="002432ED">
          <w:rPr>
            <w:webHidden/>
          </w:rPr>
          <w:tab/>
        </w:r>
        <w:r w:rsidR="00567C3E" w:rsidRPr="002432ED">
          <w:rPr>
            <w:webHidden/>
          </w:rPr>
          <w:fldChar w:fldCharType="begin"/>
        </w:r>
        <w:r w:rsidR="00567C3E" w:rsidRPr="002432ED">
          <w:rPr>
            <w:webHidden/>
          </w:rPr>
          <w:instrText xml:space="preserve"> PAGEREF _Toc430872010 \h </w:instrText>
        </w:r>
        <w:r w:rsidR="00567C3E" w:rsidRPr="002432ED">
          <w:rPr>
            <w:webHidden/>
          </w:rPr>
        </w:r>
        <w:r w:rsidR="00567C3E" w:rsidRPr="002432ED">
          <w:rPr>
            <w:webHidden/>
          </w:rPr>
          <w:fldChar w:fldCharType="separate"/>
        </w:r>
        <w:r w:rsidR="00C613D1">
          <w:rPr>
            <w:webHidden/>
          </w:rPr>
          <w:t>60</w:t>
        </w:r>
        <w:r w:rsidR="00567C3E" w:rsidRPr="002432ED">
          <w:rPr>
            <w:webHidden/>
          </w:rPr>
          <w:fldChar w:fldCharType="end"/>
        </w:r>
      </w:hyperlink>
    </w:p>
    <w:p w:rsidR="00567C3E" w:rsidRPr="002432ED" w:rsidRDefault="00335582" w:rsidP="00567C3E">
      <w:pPr>
        <w:pStyle w:val="Spistreci1"/>
        <w:jc w:val="both"/>
      </w:pPr>
      <w:hyperlink w:anchor="_Toc430872011" w:history="1">
        <w:r w:rsidR="00567C3E" w:rsidRPr="002432ED">
          <w:rPr>
            <w:rStyle w:val="Hipercze"/>
          </w:rPr>
          <w:t>Tabela 29. Korzystający z sieci wodnej i kanalizacyjnej oraz długość sieci na terenie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_Toc430872011 \h </w:instrText>
        </w:r>
        <w:r w:rsidR="00567C3E" w:rsidRPr="002432ED">
          <w:rPr>
            <w:webHidden/>
          </w:rPr>
        </w:r>
        <w:r w:rsidR="00567C3E" w:rsidRPr="002432ED">
          <w:rPr>
            <w:webHidden/>
          </w:rPr>
          <w:fldChar w:fldCharType="separate"/>
        </w:r>
        <w:r w:rsidR="00C613D1">
          <w:rPr>
            <w:webHidden/>
          </w:rPr>
          <w:t>63</w:t>
        </w:r>
        <w:r w:rsidR="00567C3E" w:rsidRPr="002432ED">
          <w:rPr>
            <w:webHidden/>
          </w:rPr>
          <w:fldChar w:fldCharType="end"/>
        </w:r>
      </w:hyperlink>
    </w:p>
    <w:p w:rsidR="00567C3E" w:rsidRPr="002432ED" w:rsidRDefault="00335582" w:rsidP="00567C3E">
      <w:pPr>
        <w:pStyle w:val="Spistreci1"/>
        <w:jc w:val="both"/>
      </w:pPr>
      <w:hyperlink w:anchor="_Toc430872012" w:history="1">
        <w:r w:rsidR="00567C3E" w:rsidRPr="002432ED">
          <w:rPr>
            <w:rStyle w:val="Hipercze"/>
          </w:rPr>
          <w:t>Tabela 30. Aglomeracje z terenu ORSG ujęte w KPOŚK</w:t>
        </w:r>
        <w:r w:rsidR="00567C3E" w:rsidRPr="002432ED">
          <w:rPr>
            <w:webHidden/>
          </w:rPr>
          <w:tab/>
        </w:r>
        <w:r w:rsidR="00567C3E" w:rsidRPr="002432ED">
          <w:rPr>
            <w:webHidden/>
          </w:rPr>
          <w:fldChar w:fldCharType="begin"/>
        </w:r>
        <w:r w:rsidR="00567C3E" w:rsidRPr="002432ED">
          <w:rPr>
            <w:webHidden/>
          </w:rPr>
          <w:instrText xml:space="preserve"> PAGEREF _Toc430872012 \h </w:instrText>
        </w:r>
        <w:r w:rsidR="00567C3E" w:rsidRPr="002432ED">
          <w:rPr>
            <w:webHidden/>
          </w:rPr>
        </w:r>
        <w:r w:rsidR="00567C3E" w:rsidRPr="002432ED">
          <w:rPr>
            <w:webHidden/>
          </w:rPr>
          <w:fldChar w:fldCharType="separate"/>
        </w:r>
        <w:r w:rsidR="00C613D1">
          <w:rPr>
            <w:webHidden/>
          </w:rPr>
          <w:t>64</w:t>
        </w:r>
        <w:r w:rsidR="00567C3E" w:rsidRPr="002432ED">
          <w:rPr>
            <w:webHidden/>
          </w:rPr>
          <w:fldChar w:fldCharType="end"/>
        </w:r>
      </w:hyperlink>
    </w:p>
    <w:p w:rsidR="00567C3E" w:rsidRPr="002432ED" w:rsidRDefault="00335582" w:rsidP="00567C3E">
      <w:pPr>
        <w:pStyle w:val="Spistreci1"/>
        <w:jc w:val="both"/>
      </w:pPr>
      <w:hyperlink w:anchor="_Toc430872013" w:history="1">
        <w:r w:rsidR="00567C3E" w:rsidRPr="002432ED">
          <w:rPr>
            <w:rStyle w:val="Hipercze"/>
          </w:rPr>
          <w:t>Tabela 31. Komunalne oczyszczalnie ścieków na terenie OSGR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_Toc430872013 \h </w:instrText>
        </w:r>
        <w:r w:rsidR="00567C3E" w:rsidRPr="002432ED">
          <w:rPr>
            <w:webHidden/>
          </w:rPr>
        </w:r>
        <w:r w:rsidR="00567C3E" w:rsidRPr="002432ED">
          <w:rPr>
            <w:webHidden/>
          </w:rPr>
          <w:fldChar w:fldCharType="separate"/>
        </w:r>
        <w:r w:rsidR="00C613D1">
          <w:rPr>
            <w:webHidden/>
          </w:rPr>
          <w:t>64</w:t>
        </w:r>
        <w:r w:rsidR="00567C3E" w:rsidRPr="002432ED">
          <w:rPr>
            <w:webHidden/>
          </w:rPr>
          <w:fldChar w:fldCharType="end"/>
        </w:r>
      </w:hyperlink>
    </w:p>
    <w:p w:rsidR="00567C3E" w:rsidRPr="002432ED" w:rsidRDefault="00335582" w:rsidP="00567C3E">
      <w:pPr>
        <w:pStyle w:val="Spistreci1"/>
        <w:jc w:val="both"/>
      </w:pPr>
      <w:hyperlink w:anchor="_Toc430872014" w:history="1">
        <w:r w:rsidR="00567C3E" w:rsidRPr="002432ED">
          <w:rPr>
            <w:rStyle w:val="Hipercze"/>
          </w:rPr>
          <w:t>Tabela 32. Odpady z gospodarstw domowych przypadające na 1 mieszkańca w 2013 r.</w:t>
        </w:r>
        <w:r w:rsidR="00567C3E" w:rsidRPr="002432ED">
          <w:rPr>
            <w:webHidden/>
          </w:rPr>
          <w:tab/>
        </w:r>
        <w:r w:rsidR="00567C3E" w:rsidRPr="002432ED">
          <w:rPr>
            <w:webHidden/>
          </w:rPr>
          <w:fldChar w:fldCharType="begin"/>
        </w:r>
        <w:r w:rsidR="00567C3E" w:rsidRPr="002432ED">
          <w:rPr>
            <w:webHidden/>
          </w:rPr>
          <w:instrText xml:space="preserve"> PAGEREF _Toc430872014 \h </w:instrText>
        </w:r>
        <w:r w:rsidR="00567C3E" w:rsidRPr="002432ED">
          <w:rPr>
            <w:webHidden/>
          </w:rPr>
        </w:r>
        <w:r w:rsidR="00567C3E" w:rsidRPr="002432ED">
          <w:rPr>
            <w:webHidden/>
          </w:rPr>
          <w:fldChar w:fldCharType="separate"/>
        </w:r>
        <w:r w:rsidR="00C613D1">
          <w:rPr>
            <w:webHidden/>
          </w:rPr>
          <w:t>65</w:t>
        </w:r>
        <w:r w:rsidR="00567C3E" w:rsidRPr="002432ED">
          <w:rPr>
            <w:webHidden/>
          </w:rPr>
          <w:fldChar w:fldCharType="end"/>
        </w:r>
      </w:hyperlink>
    </w:p>
    <w:p w:rsidR="00567C3E" w:rsidRPr="002432ED" w:rsidRDefault="00335582" w:rsidP="00567C3E">
      <w:pPr>
        <w:pStyle w:val="Spistreci1"/>
        <w:jc w:val="both"/>
      </w:pPr>
      <w:hyperlink w:anchor="_Toc430872015" w:history="1">
        <w:r w:rsidR="00567C3E" w:rsidRPr="002432ED">
          <w:rPr>
            <w:rStyle w:val="Hipercze"/>
          </w:rPr>
          <w:t>Tabela 33. Odbiorcy i zużycie energii elektrycznej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_Toc430872015 \h </w:instrText>
        </w:r>
        <w:r w:rsidR="00567C3E" w:rsidRPr="002432ED">
          <w:rPr>
            <w:webHidden/>
          </w:rPr>
        </w:r>
        <w:r w:rsidR="00567C3E" w:rsidRPr="002432ED">
          <w:rPr>
            <w:webHidden/>
          </w:rPr>
          <w:fldChar w:fldCharType="separate"/>
        </w:r>
        <w:r w:rsidR="00C613D1">
          <w:rPr>
            <w:webHidden/>
          </w:rPr>
          <w:t>66</w:t>
        </w:r>
        <w:r w:rsidR="00567C3E" w:rsidRPr="002432ED">
          <w:rPr>
            <w:webHidden/>
          </w:rPr>
          <w:fldChar w:fldCharType="end"/>
        </w:r>
      </w:hyperlink>
    </w:p>
    <w:p w:rsidR="00567C3E" w:rsidRPr="002432ED" w:rsidRDefault="00335582" w:rsidP="00567C3E">
      <w:pPr>
        <w:pStyle w:val="Spistreci1"/>
        <w:jc w:val="both"/>
      </w:pPr>
      <w:hyperlink w:anchor="_Toc430872016" w:history="1">
        <w:r w:rsidR="00567C3E" w:rsidRPr="002432ED">
          <w:rPr>
            <w:rStyle w:val="Hipercze"/>
          </w:rPr>
          <w:t>Tabela 34. Długość dróg na terenie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_Toc430872016 \h </w:instrText>
        </w:r>
        <w:r w:rsidR="00567C3E" w:rsidRPr="002432ED">
          <w:rPr>
            <w:webHidden/>
          </w:rPr>
        </w:r>
        <w:r w:rsidR="00567C3E" w:rsidRPr="002432ED">
          <w:rPr>
            <w:webHidden/>
          </w:rPr>
          <w:fldChar w:fldCharType="separate"/>
        </w:r>
        <w:r w:rsidR="00C613D1">
          <w:rPr>
            <w:webHidden/>
          </w:rPr>
          <w:t>67</w:t>
        </w:r>
        <w:r w:rsidR="00567C3E" w:rsidRPr="002432ED">
          <w:rPr>
            <w:webHidden/>
          </w:rPr>
          <w:fldChar w:fldCharType="end"/>
        </w:r>
      </w:hyperlink>
    </w:p>
    <w:p w:rsidR="00567C3E" w:rsidRPr="002432ED" w:rsidRDefault="00335582" w:rsidP="00567C3E">
      <w:pPr>
        <w:pStyle w:val="Spistreci1"/>
        <w:jc w:val="both"/>
      </w:pPr>
      <w:hyperlink w:anchor="_Toc430872017" w:history="1">
        <w:r w:rsidR="00567C3E" w:rsidRPr="002432ED">
          <w:rPr>
            <w:rStyle w:val="Hipercze"/>
          </w:rPr>
          <w:t>Tabela 35. Pokrycie Powiatu Brodnickiego infrastrukturą telekomunikacyjną w 2013 r.</w:t>
        </w:r>
        <w:r w:rsidR="00567C3E" w:rsidRPr="002432ED">
          <w:rPr>
            <w:webHidden/>
          </w:rPr>
          <w:tab/>
        </w:r>
        <w:r w:rsidR="00567C3E" w:rsidRPr="002432ED">
          <w:rPr>
            <w:webHidden/>
          </w:rPr>
          <w:fldChar w:fldCharType="begin"/>
        </w:r>
        <w:r w:rsidR="00567C3E" w:rsidRPr="002432ED">
          <w:rPr>
            <w:webHidden/>
          </w:rPr>
          <w:instrText xml:space="preserve"> PAGEREF _Toc430872017 \h </w:instrText>
        </w:r>
        <w:r w:rsidR="00567C3E" w:rsidRPr="002432ED">
          <w:rPr>
            <w:webHidden/>
          </w:rPr>
        </w:r>
        <w:r w:rsidR="00567C3E" w:rsidRPr="002432ED">
          <w:rPr>
            <w:webHidden/>
          </w:rPr>
          <w:fldChar w:fldCharType="separate"/>
        </w:r>
        <w:r w:rsidR="00C613D1">
          <w:rPr>
            <w:webHidden/>
          </w:rPr>
          <w:t>68</w:t>
        </w:r>
        <w:r w:rsidR="00567C3E" w:rsidRPr="002432ED">
          <w:rPr>
            <w:webHidden/>
          </w:rPr>
          <w:fldChar w:fldCharType="end"/>
        </w:r>
      </w:hyperlink>
    </w:p>
    <w:p w:rsidR="00567C3E" w:rsidRPr="002432ED" w:rsidRDefault="00335582" w:rsidP="00567C3E">
      <w:pPr>
        <w:pStyle w:val="Spistreci1"/>
        <w:jc w:val="both"/>
      </w:pPr>
      <w:hyperlink w:anchor="_Toc430872018" w:history="1">
        <w:r w:rsidR="00567C3E" w:rsidRPr="002432ED">
          <w:rPr>
            <w:rStyle w:val="Hipercze"/>
          </w:rPr>
          <w:t>Tabela 36. Emisja i redukcja zanieczyszczeń powietrza z zakładów szczególnie uciążliwych na terenie ORSG Powiatu Brodnickiego na tle województwa kujawsko-pomorskiego w 2013 r.</w:t>
        </w:r>
        <w:r w:rsidR="00567C3E" w:rsidRPr="002432ED">
          <w:rPr>
            <w:webHidden/>
          </w:rPr>
          <w:tab/>
        </w:r>
        <w:r w:rsidR="00567C3E" w:rsidRPr="002432ED">
          <w:rPr>
            <w:webHidden/>
          </w:rPr>
          <w:fldChar w:fldCharType="begin"/>
        </w:r>
        <w:r w:rsidR="00567C3E" w:rsidRPr="002432ED">
          <w:rPr>
            <w:webHidden/>
          </w:rPr>
          <w:instrText xml:space="preserve"> PAGEREF _Toc430872018 \h </w:instrText>
        </w:r>
        <w:r w:rsidR="00567C3E" w:rsidRPr="002432ED">
          <w:rPr>
            <w:webHidden/>
          </w:rPr>
        </w:r>
        <w:r w:rsidR="00567C3E" w:rsidRPr="002432ED">
          <w:rPr>
            <w:webHidden/>
          </w:rPr>
          <w:fldChar w:fldCharType="separate"/>
        </w:r>
        <w:r w:rsidR="00C613D1">
          <w:rPr>
            <w:webHidden/>
          </w:rPr>
          <w:t>72</w:t>
        </w:r>
        <w:r w:rsidR="00567C3E" w:rsidRPr="002432ED">
          <w:rPr>
            <w:webHidden/>
          </w:rPr>
          <w:fldChar w:fldCharType="end"/>
        </w:r>
      </w:hyperlink>
    </w:p>
    <w:p w:rsidR="00567C3E" w:rsidRPr="002432ED" w:rsidRDefault="00335582" w:rsidP="00567C3E">
      <w:pPr>
        <w:pStyle w:val="Spistreci1"/>
        <w:jc w:val="both"/>
      </w:pPr>
      <w:hyperlink w:anchor="_Toc430872019" w:history="1">
        <w:r w:rsidR="00567C3E" w:rsidRPr="002432ED">
          <w:rPr>
            <w:rStyle w:val="Hipercze"/>
          </w:rPr>
          <w:t>Tabela 37. Emisja energetyczna zanieczyszczeń z terenu ORSG Powiatu Brodnickiego w 2013 r.</w:t>
        </w:r>
        <w:r w:rsidR="00567C3E" w:rsidRPr="002432ED">
          <w:rPr>
            <w:webHidden/>
          </w:rPr>
          <w:tab/>
        </w:r>
        <w:r w:rsidR="00567C3E" w:rsidRPr="002432ED">
          <w:rPr>
            <w:webHidden/>
          </w:rPr>
          <w:fldChar w:fldCharType="begin"/>
        </w:r>
        <w:r w:rsidR="00567C3E" w:rsidRPr="002432ED">
          <w:rPr>
            <w:webHidden/>
          </w:rPr>
          <w:instrText xml:space="preserve"> PAGEREF _Toc430872019 \h </w:instrText>
        </w:r>
        <w:r w:rsidR="00567C3E" w:rsidRPr="002432ED">
          <w:rPr>
            <w:webHidden/>
          </w:rPr>
        </w:r>
        <w:r w:rsidR="00567C3E" w:rsidRPr="002432ED">
          <w:rPr>
            <w:webHidden/>
          </w:rPr>
          <w:fldChar w:fldCharType="separate"/>
        </w:r>
        <w:r w:rsidR="00C613D1">
          <w:rPr>
            <w:webHidden/>
          </w:rPr>
          <w:t>72</w:t>
        </w:r>
        <w:r w:rsidR="00567C3E" w:rsidRPr="002432ED">
          <w:rPr>
            <w:webHidden/>
          </w:rPr>
          <w:fldChar w:fldCharType="end"/>
        </w:r>
      </w:hyperlink>
    </w:p>
    <w:p w:rsidR="00567C3E" w:rsidRPr="002432ED" w:rsidRDefault="00335582" w:rsidP="00567C3E">
      <w:pPr>
        <w:pStyle w:val="Spistreci1"/>
        <w:jc w:val="both"/>
      </w:pPr>
      <w:hyperlink w:anchor="_Toc430872020" w:history="1">
        <w:r w:rsidR="00567C3E" w:rsidRPr="002432ED">
          <w:rPr>
            <w:rStyle w:val="Hipercze"/>
          </w:rPr>
          <w:t>Tabela 38. Plany Gospodarki Niskoemisyjnej poszczególnych gmin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_Toc430872020 \h </w:instrText>
        </w:r>
        <w:r w:rsidR="00567C3E" w:rsidRPr="002432ED">
          <w:rPr>
            <w:webHidden/>
          </w:rPr>
        </w:r>
        <w:r w:rsidR="00567C3E" w:rsidRPr="002432ED">
          <w:rPr>
            <w:webHidden/>
          </w:rPr>
          <w:fldChar w:fldCharType="separate"/>
        </w:r>
        <w:r w:rsidR="00C613D1">
          <w:rPr>
            <w:webHidden/>
          </w:rPr>
          <w:t>73</w:t>
        </w:r>
        <w:r w:rsidR="00567C3E" w:rsidRPr="002432ED">
          <w:rPr>
            <w:webHidden/>
          </w:rPr>
          <w:fldChar w:fldCharType="end"/>
        </w:r>
      </w:hyperlink>
    </w:p>
    <w:p w:rsidR="00567C3E" w:rsidRPr="002432ED" w:rsidRDefault="00335582" w:rsidP="00567C3E">
      <w:pPr>
        <w:pStyle w:val="Spistreci1"/>
        <w:jc w:val="both"/>
      </w:pPr>
      <w:hyperlink w:anchor="_Toc430872021" w:history="1">
        <w:r w:rsidR="00567C3E" w:rsidRPr="002432ED">
          <w:rPr>
            <w:rStyle w:val="Hipercze"/>
          </w:rPr>
          <w:t>Tabela 39. Problemy zdiagnozowane na ORSG Powiatu Brodnickiego</w:t>
        </w:r>
        <w:r w:rsidR="00567C3E" w:rsidRPr="002432ED">
          <w:rPr>
            <w:webHidden/>
          </w:rPr>
          <w:tab/>
        </w:r>
        <w:r w:rsidR="00567C3E" w:rsidRPr="002432ED">
          <w:rPr>
            <w:webHidden/>
          </w:rPr>
          <w:fldChar w:fldCharType="begin"/>
        </w:r>
        <w:r w:rsidR="00567C3E" w:rsidRPr="002432ED">
          <w:rPr>
            <w:webHidden/>
          </w:rPr>
          <w:instrText xml:space="preserve"> PAGEREF _Toc430872021 \h </w:instrText>
        </w:r>
        <w:r w:rsidR="00567C3E" w:rsidRPr="002432ED">
          <w:rPr>
            <w:webHidden/>
          </w:rPr>
        </w:r>
        <w:r w:rsidR="00567C3E" w:rsidRPr="002432ED">
          <w:rPr>
            <w:webHidden/>
          </w:rPr>
          <w:fldChar w:fldCharType="separate"/>
        </w:r>
        <w:r w:rsidR="00C613D1">
          <w:rPr>
            <w:webHidden/>
          </w:rPr>
          <w:t>75</w:t>
        </w:r>
        <w:r w:rsidR="00567C3E" w:rsidRPr="002432ED">
          <w:rPr>
            <w:webHidden/>
          </w:rPr>
          <w:fldChar w:fldCharType="end"/>
        </w:r>
      </w:hyperlink>
    </w:p>
    <w:p w:rsidR="00567C3E" w:rsidRPr="002432ED" w:rsidRDefault="00335582" w:rsidP="00567C3E">
      <w:pPr>
        <w:pStyle w:val="Spistreci1"/>
        <w:jc w:val="both"/>
      </w:pPr>
      <w:hyperlink w:anchor="_Toc430872022" w:history="1">
        <w:r w:rsidR="00567C3E" w:rsidRPr="002432ED">
          <w:rPr>
            <w:rStyle w:val="Hipercze"/>
          </w:rPr>
          <w:t>Tabela 40. Terytorialny wymiar wsparcia</w:t>
        </w:r>
        <w:r w:rsidR="00567C3E" w:rsidRPr="002432ED">
          <w:rPr>
            <w:webHidden/>
          </w:rPr>
          <w:tab/>
        </w:r>
        <w:r w:rsidR="00567C3E" w:rsidRPr="002432ED">
          <w:rPr>
            <w:webHidden/>
          </w:rPr>
          <w:fldChar w:fldCharType="begin"/>
        </w:r>
        <w:r w:rsidR="00567C3E" w:rsidRPr="002432ED">
          <w:rPr>
            <w:webHidden/>
          </w:rPr>
          <w:instrText xml:space="preserve"> PAGEREF _Toc430872022 \h </w:instrText>
        </w:r>
        <w:r w:rsidR="00567C3E" w:rsidRPr="002432ED">
          <w:rPr>
            <w:webHidden/>
          </w:rPr>
        </w:r>
        <w:r w:rsidR="00567C3E" w:rsidRPr="002432ED">
          <w:rPr>
            <w:webHidden/>
          </w:rPr>
          <w:fldChar w:fldCharType="separate"/>
        </w:r>
        <w:r w:rsidR="00C613D1">
          <w:rPr>
            <w:webHidden/>
          </w:rPr>
          <w:t>76</w:t>
        </w:r>
        <w:r w:rsidR="00567C3E" w:rsidRPr="002432ED">
          <w:rPr>
            <w:webHidden/>
          </w:rPr>
          <w:fldChar w:fldCharType="end"/>
        </w:r>
      </w:hyperlink>
    </w:p>
    <w:p w:rsidR="00567C3E" w:rsidRPr="002432ED" w:rsidRDefault="00335582" w:rsidP="00567C3E">
      <w:pPr>
        <w:pStyle w:val="Spistreci1"/>
        <w:jc w:val="both"/>
      </w:pPr>
      <w:hyperlink w:anchor="_Toc430872023" w:history="1">
        <w:r w:rsidR="00567C3E" w:rsidRPr="002432ED">
          <w:rPr>
            <w:rStyle w:val="Hipercze"/>
          </w:rPr>
          <w:t>Tabela 41. Cele strategiczne i cele operacyjne</w:t>
        </w:r>
        <w:r w:rsidR="00567C3E" w:rsidRPr="002432ED">
          <w:rPr>
            <w:webHidden/>
          </w:rPr>
          <w:tab/>
        </w:r>
        <w:r w:rsidR="00567C3E" w:rsidRPr="002432ED">
          <w:rPr>
            <w:webHidden/>
          </w:rPr>
          <w:fldChar w:fldCharType="begin"/>
        </w:r>
        <w:r w:rsidR="00567C3E" w:rsidRPr="002432ED">
          <w:rPr>
            <w:webHidden/>
          </w:rPr>
          <w:instrText xml:space="preserve"> PAGEREF _Toc430872023 \h </w:instrText>
        </w:r>
        <w:r w:rsidR="00567C3E" w:rsidRPr="002432ED">
          <w:rPr>
            <w:webHidden/>
          </w:rPr>
        </w:r>
        <w:r w:rsidR="00567C3E" w:rsidRPr="002432ED">
          <w:rPr>
            <w:webHidden/>
          </w:rPr>
          <w:fldChar w:fldCharType="separate"/>
        </w:r>
        <w:r w:rsidR="00C613D1">
          <w:rPr>
            <w:webHidden/>
          </w:rPr>
          <w:t>82</w:t>
        </w:r>
        <w:r w:rsidR="00567C3E" w:rsidRPr="002432ED">
          <w:rPr>
            <w:webHidden/>
          </w:rPr>
          <w:fldChar w:fldCharType="end"/>
        </w:r>
      </w:hyperlink>
    </w:p>
    <w:p w:rsidR="00567C3E" w:rsidRPr="002432ED" w:rsidRDefault="00335582" w:rsidP="00567C3E">
      <w:pPr>
        <w:pStyle w:val="Spistreci1"/>
        <w:jc w:val="both"/>
      </w:pPr>
      <w:hyperlink w:anchor="_Toc430872024" w:history="1">
        <w:r w:rsidR="00567C3E" w:rsidRPr="002432ED">
          <w:rPr>
            <w:rStyle w:val="Hipercze"/>
          </w:rPr>
          <w:t>Tabela 42. Zgodność Strategii ORSG z dokumentami strategicznymi</w:t>
        </w:r>
        <w:r w:rsidR="00567C3E" w:rsidRPr="002432ED">
          <w:rPr>
            <w:webHidden/>
          </w:rPr>
          <w:tab/>
        </w:r>
        <w:r w:rsidR="00567C3E" w:rsidRPr="002432ED">
          <w:rPr>
            <w:webHidden/>
          </w:rPr>
          <w:fldChar w:fldCharType="begin"/>
        </w:r>
        <w:r w:rsidR="00567C3E" w:rsidRPr="002432ED">
          <w:rPr>
            <w:webHidden/>
          </w:rPr>
          <w:instrText xml:space="preserve"> PAGEREF _Toc430872024 \h </w:instrText>
        </w:r>
        <w:r w:rsidR="00567C3E" w:rsidRPr="002432ED">
          <w:rPr>
            <w:webHidden/>
          </w:rPr>
        </w:r>
        <w:r w:rsidR="00567C3E" w:rsidRPr="002432ED">
          <w:rPr>
            <w:webHidden/>
          </w:rPr>
          <w:fldChar w:fldCharType="separate"/>
        </w:r>
        <w:r w:rsidR="00C613D1">
          <w:rPr>
            <w:webHidden/>
          </w:rPr>
          <w:t>83</w:t>
        </w:r>
        <w:r w:rsidR="00567C3E" w:rsidRPr="002432ED">
          <w:rPr>
            <w:webHidden/>
          </w:rPr>
          <w:fldChar w:fldCharType="end"/>
        </w:r>
      </w:hyperlink>
    </w:p>
    <w:p w:rsidR="00567C3E" w:rsidRPr="002432ED" w:rsidRDefault="00335582" w:rsidP="00567C3E">
      <w:pPr>
        <w:pStyle w:val="Spistreci1"/>
        <w:jc w:val="both"/>
      </w:pPr>
      <w:hyperlink w:anchor="_Toc430872025" w:history="1">
        <w:r w:rsidR="00567C3E" w:rsidRPr="002432ED">
          <w:rPr>
            <w:rStyle w:val="Hipercze"/>
          </w:rPr>
          <w:t>Tabela 43. Logika interwencji strategicznej</w:t>
        </w:r>
        <w:r w:rsidR="00567C3E" w:rsidRPr="002432ED">
          <w:rPr>
            <w:webHidden/>
          </w:rPr>
          <w:tab/>
        </w:r>
        <w:r w:rsidR="00567C3E" w:rsidRPr="002432ED">
          <w:rPr>
            <w:webHidden/>
          </w:rPr>
          <w:fldChar w:fldCharType="begin"/>
        </w:r>
        <w:r w:rsidR="00567C3E" w:rsidRPr="002432ED">
          <w:rPr>
            <w:webHidden/>
          </w:rPr>
          <w:instrText xml:space="preserve"> PAGEREF _Toc430872025 \h </w:instrText>
        </w:r>
        <w:r w:rsidR="00567C3E" w:rsidRPr="002432ED">
          <w:rPr>
            <w:webHidden/>
          </w:rPr>
        </w:r>
        <w:r w:rsidR="00567C3E" w:rsidRPr="002432ED">
          <w:rPr>
            <w:webHidden/>
          </w:rPr>
          <w:fldChar w:fldCharType="separate"/>
        </w:r>
        <w:r w:rsidR="00C613D1">
          <w:rPr>
            <w:webHidden/>
          </w:rPr>
          <w:t>91</w:t>
        </w:r>
        <w:r w:rsidR="00567C3E" w:rsidRPr="002432ED">
          <w:rPr>
            <w:webHidden/>
          </w:rPr>
          <w:fldChar w:fldCharType="end"/>
        </w:r>
      </w:hyperlink>
    </w:p>
    <w:p w:rsidR="00567C3E" w:rsidRPr="002432ED" w:rsidRDefault="00335582" w:rsidP="00567C3E">
      <w:pPr>
        <w:pStyle w:val="Spistreci1"/>
        <w:jc w:val="both"/>
      </w:pPr>
      <w:hyperlink w:anchor="_Toc430872026" w:history="1">
        <w:r w:rsidR="00567C3E" w:rsidRPr="002432ED">
          <w:rPr>
            <w:rStyle w:val="Hipercze"/>
          </w:rPr>
          <w:t>Tabela 44. Priorytety Inwestycyjne w ramach RPO WK-P na lata 2014-2020 odnoszące się do poziomu powiatowego polityki terytorialnej</w:t>
        </w:r>
        <w:r w:rsidR="00567C3E" w:rsidRPr="002432ED">
          <w:rPr>
            <w:webHidden/>
          </w:rPr>
          <w:tab/>
        </w:r>
        <w:r w:rsidR="00567C3E" w:rsidRPr="002432ED">
          <w:rPr>
            <w:webHidden/>
          </w:rPr>
          <w:fldChar w:fldCharType="begin"/>
        </w:r>
        <w:r w:rsidR="00567C3E" w:rsidRPr="002432ED">
          <w:rPr>
            <w:webHidden/>
          </w:rPr>
          <w:instrText xml:space="preserve"> PAGEREF _Toc430872026 \h </w:instrText>
        </w:r>
        <w:r w:rsidR="00567C3E" w:rsidRPr="002432ED">
          <w:rPr>
            <w:webHidden/>
          </w:rPr>
        </w:r>
        <w:r w:rsidR="00567C3E" w:rsidRPr="002432ED">
          <w:rPr>
            <w:webHidden/>
          </w:rPr>
          <w:fldChar w:fldCharType="separate"/>
        </w:r>
        <w:r w:rsidR="00C613D1">
          <w:rPr>
            <w:webHidden/>
          </w:rPr>
          <w:t>94</w:t>
        </w:r>
        <w:r w:rsidR="00567C3E" w:rsidRPr="002432ED">
          <w:rPr>
            <w:webHidden/>
          </w:rPr>
          <w:fldChar w:fldCharType="end"/>
        </w:r>
      </w:hyperlink>
    </w:p>
    <w:p w:rsidR="00567C3E" w:rsidRPr="002432ED" w:rsidRDefault="00335582" w:rsidP="00567C3E">
      <w:pPr>
        <w:pStyle w:val="Spistreci1"/>
        <w:jc w:val="both"/>
      </w:pPr>
      <w:hyperlink w:anchor="_Toc430872027" w:history="1">
        <w:r w:rsidR="00567C3E" w:rsidRPr="002432ED">
          <w:rPr>
            <w:rStyle w:val="Hipercze"/>
          </w:rPr>
          <w:t>Tabela 45. Wartość projektów z listy podstawowej w podziale na źródła finansowania</w:t>
        </w:r>
        <w:r w:rsidR="00567C3E" w:rsidRPr="002432ED">
          <w:rPr>
            <w:webHidden/>
          </w:rPr>
          <w:tab/>
        </w:r>
        <w:r w:rsidR="00567C3E" w:rsidRPr="002432ED">
          <w:rPr>
            <w:webHidden/>
          </w:rPr>
          <w:fldChar w:fldCharType="begin"/>
        </w:r>
        <w:r w:rsidR="00567C3E" w:rsidRPr="002432ED">
          <w:rPr>
            <w:webHidden/>
          </w:rPr>
          <w:instrText xml:space="preserve"> PAGEREF _Toc430872027 \h </w:instrText>
        </w:r>
        <w:r w:rsidR="00567C3E" w:rsidRPr="002432ED">
          <w:rPr>
            <w:webHidden/>
          </w:rPr>
        </w:r>
        <w:r w:rsidR="00567C3E" w:rsidRPr="002432ED">
          <w:rPr>
            <w:webHidden/>
          </w:rPr>
          <w:fldChar w:fldCharType="separate"/>
        </w:r>
        <w:r w:rsidR="00C613D1">
          <w:rPr>
            <w:webHidden/>
          </w:rPr>
          <w:t>96</w:t>
        </w:r>
        <w:r w:rsidR="00567C3E" w:rsidRPr="002432ED">
          <w:rPr>
            <w:webHidden/>
          </w:rPr>
          <w:fldChar w:fldCharType="end"/>
        </w:r>
      </w:hyperlink>
    </w:p>
    <w:p w:rsidR="00567C3E" w:rsidRPr="002432ED" w:rsidRDefault="00335582" w:rsidP="00567C3E">
      <w:pPr>
        <w:pStyle w:val="Spistreci1"/>
        <w:jc w:val="both"/>
      </w:pPr>
      <w:hyperlink w:anchor="_Toc430872028" w:history="1">
        <w:r w:rsidR="00567C3E" w:rsidRPr="002432ED">
          <w:rPr>
            <w:rStyle w:val="Hipercze"/>
          </w:rPr>
          <w:t>Tabela 46. Wartość projektów z listy podstawowej w podziale na Priorytety Inwestycyjne w ramach RPO WK-P 2014-2020</w:t>
        </w:r>
        <w:r w:rsidR="00567C3E" w:rsidRPr="002432ED">
          <w:rPr>
            <w:webHidden/>
          </w:rPr>
          <w:tab/>
        </w:r>
        <w:r w:rsidR="00567C3E" w:rsidRPr="002432ED">
          <w:rPr>
            <w:webHidden/>
          </w:rPr>
          <w:fldChar w:fldCharType="begin"/>
        </w:r>
        <w:r w:rsidR="00567C3E" w:rsidRPr="002432ED">
          <w:rPr>
            <w:webHidden/>
          </w:rPr>
          <w:instrText xml:space="preserve"> PAGEREF _Toc430872028 \h </w:instrText>
        </w:r>
        <w:r w:rsidR="00567C3E" w:rsidRPr="002432ED">
          <w:rPr>
            <w:webHidden/>
          </w:rPr>
        </w:r>
        <w:r w:rsidR="00567C3E" w:rsidRPr="002432ED">
          <w:rPr>
            <w:webHidden/>
          </w:rPr>
          <w:fldChar w:fldCharType="separate"/>
        </w:r>
        <w:r w:rsidR="00C613D1">
          <w:rPr>
            <w:webHidden/>
          </w:rPr>
          <w:t>98</w:t>
        </w:r>
        <w:r w:rsidR="00567C3E" w:rsidRPr="002432ED">
          <w:rPr>
            <w:webHidden/>
          </w:rPr>
          <w:fldChar w:fldCharType="end"/>
        </w:r>
      </w:hyperlink>
    </w:p>
    <w:p w:rsidR="00567C3E" w:rsidRPr="002432ED" w:rsidRDefault="00335582" w:rsidP="00567C3E">
      <w:pPr>
        <w:pStyle w:val="Spistreci1"/>
        <w:jc w:val="both"/>
      </w:pPr>
      <w:hyperlink w:anchor="_Toc430872029" w:history="1">
        <w:r w:rsidR="00567C3E" w:rsidRPr="002432ED">
          <w:rPr>
            <w:rStyle w:val="Hipercze"/>
          </w:rPr>
          <w:t>Tabela 47. Lista podstawowa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_Toc430872029 \h </w:instrText>
        </w:r>
        <w:r w:rsidR="00567C3E" w:rsidRPr="002432ED">
          <w:rPr>
            <w:webHidden/>
          </w:rPr>
        </w:r>
        <w:r w:rsidR="00567C3E" w:rsidRPr="002432ED">
          <w:rPr>
            <w:webHidden/>
          </w:rPr>
          <w:fldChar w:fldCharType="separate"/>
        </w:r>
        <w:r w:rsidR="00C613D1">
          <w:rPr>
            <w:webHidden/>
          </w:rPr>
          <w:t>99</w:t>
        </w:r>
        <w:r w:rsidR="00567C3E" w:rsidRPr="002432ED">
          <w:rPr>
            <w:webHidden/>
          </w:rPr>
          <w:fldChar w:fldCharType="end"/>
        </w:r>
      </w:hyperlink>
    </w:p>
    <w:p w:rsidR="00567C3E" w:rsidRPr="002432ED" w:rsidRDefault="00335582" w:rsidP="00567C3E">
      <w:pPr>
        <w:pStyle w:val="Spistreci1"/>
        <w:jc w:val="both"/>
      </w:pPr>
      <w:hyperlink w:anchor="_Toc430872030" w:history="1">
        <w:r w:rsidR="00567C3E" w:rsidRPr="002432ED">
          <w:rPr>
            <w:rStyle w:val="Hipercze"/>
          </w:rPr>
          <w:t>Tabela 48. Lista podstawowa projektów finansowanych w ramach EFS</w:t>
        </w:r>
        <w:r w:rsidR="00567C3E" w:rsidRPr="002432ED">
          <w:rPr>
            <w:webHidden/>
          </w:rPr>
          <w:tab/>
        </w:r>
        <w:r w:rsidR="00567C3E" w:rsidRPr="002432ED">
          <w:rPr>
            <w:webHidden/>
          </w:rPr>
          <w:fldChar w:fldCharType="begin"/>
        </w:r>
        <w:r w:rsidR="00567C3E" w:rsidRPr="002432ED">
          <w:rPr>
            <w:webHidden/>
          </w:rPr>
          <w:instrText xml:space="preserve"> PAGEREF _Toc430872030 \h </w:instrText>
        </w:r>
        <w:r w:rsidR="00567C3E" w:rsidRPr="002432ED">
          <w:rPr>
            <w:webHidden/>
          </w:rPr>
        </w:r>
        <w:r w:rsidR="00567C3E" w:rsidRPr="002432ED">
          <w:rPr>
            <w:webHidden/>
          </w:rPr>
          <w:fldChar w:fldCharType="separate"/>
        </w:r>
        <w:r w:rsidR="00C613D1">
          <w:rPr>
            <w:webHidden/>
          </w:rPr>
          <w:t>109</w:t>
        </w:r>
        <w:r w:rsidR="00567C3E" w:rsidRPr="002432ED">
          <w:rPr>
            <w:webHidden/>
          </w:rPr>
          <w:fldChar w:fldCharType="end"/>
        </w:r>
      </w:hyperlink>
    </w:p>
    <w:p w:rsidR="00567C3E" w:rsidRPr="002432ED" w:rsidRDefault="00335582" w:rsidP="00567C3E">
      <w:pPr>
        <w:pStyle w:val="Spistreci1"/>
        <w:jc w:val="both"/>
      </w:pPr>
      <w:hyperlink w:anchor="_Toc430872031" w:history="1">
        <w:r w:rsidR="00567C3E" w:rsidRPr="002432ED">
          <w:rPr>
            <w:rStyle w:val="Hipercze"/>
          </w:rPr>
          <w:t>Tabela 49. Lista rezerwowa projektów finansowanych w ramach EFRR</w:t>
        </w:r>
        <w:r w:rsidR="00567C3E" w:rsidRPr="002432ED">
          <w:rPr>
            <w:webHidden/>
          </w:rPr>
          <w:tab/>
        </w:r>
        <w:r w:rsidR="00567C3E" w:rsidRPr="002432ED">
          <w:rPr>
            <w:webHidden/>
          </w:rPr>
          <w:fldChar w:fldCharType="begin"/>
        </w:r>
        <w:r w:rsidR="00567C3E" w:rsidRPr="002432ED">
          <w:rPr>
            <w:webHidden/>
          </w:rPr>
          <w:instrText xml:space="preserve"> PAGEREF _Toc430872031 \h </w:instrText>
        </w:r>
        <w:r w:rsidR="00567C3E" w:rsidRPr="002432ED">
          <w:rPr>
            <w:webHidden/>
          </w:rPr>
        </w:r>
        <w:r w:rsidR="00567C3E" w:rsidRPr="002432ED">
          <w:rPr>
            <w:webHidden/>
          </w:rPr>
          <w:fldChar w:fldCharType="separate"/>
        </w:r>
        <w:r w:rsidR="00C613D1">
          <w:rPr>
            <w:webHidden/>
          </w:rPr>
          <w:t>124</w:t>
        </w:r>
        <w:r w:rsidR="00567C3E" w:rsidRPr="002432ED">
          <w:rPr>
            <w:webHidden/>
          </w:rPr>
          <w:fldChar w:fldCharType="end"/>
        </w:r>
      </w:hyperlink>
    </w:p>
    <w:p w:rsidR="00567C3E" w:rsidRPr="002432ED" w:rsidRDefault="00335582" w:rsidP="00567C3E">
      <w:pPr>
        <w:pStyle w:val="Spistreci1"/>
        <w:jc w:val="both"/>
      </w:pPr>
      <w:hyperlink w:anchor="_Toc430872032" w:history="1">
        <w:r w:rsidR="00567C3E" w:rsidRPr="002432ED">
          <w:rPr>
            <w:rStyle w:val="Hipercze"/>
          </w:rPr>
          <w:t>Tabela 50. Lista projektów komplementarnych</w:t>
        </w:r>
        <w:r w:rsidR="00567C3E" w:rsidRPr="002432ED">
          <w:rPr>
            <w:webHidden/>
          </w:rPr>
          <w:tab/>
        </w:r>
        <w:r w:rsidR="00567C3E" w:rsidRPr="002432ED">
          <w:rPr>
            <w:webHidden/>
          </w:rPr>
          <w:fldChar w:fldCharType="begin"/>
        </w:r>
        <w:r w:rsidR="00567C3E" w:rsidRPr="002432ED">
          <w:rPr>
            <w:webHidden/>
          </w:rPr>
          <w:instrText xml:space="preserve"> PAGEREF _Toc430872032 \h </w:instrText>
        </w:r>
        <w:r w:rsidR="00567C3E" w:rsidRPr="002432ED">
          <w:rPr>
            <w:webHidden/>
          </w:rPr>
        </w:r>
        <w:r w:rsidR="00567C3E" w:rsidRPr="002432ED">
          <w:rPr>
            <w:webHidden/>
          </w:rPr>
          <w:fldChar w:fldCharType="separate"/>
        </w:r>
        <w:r w:rsidR="00C613D1">
          <w:rPr>
            <w:b/>
            <w:bCs/>
            <w:webHidden/>
          </w:rPr>
          <w:t>Błąd! Nie zdefiniowano zakładki.</w:t>
        </w:r>
        <w:r w:rsidR="00567C3E" w:rsidRPr="002432ED">
          <w:rPr>
            <w:webHidden/>
          </w:rPr>
          <w:fldChar w:fldCharType="end"/>
        </w:r>
      </w:hyperlink>
    </w:p>
    <w:p w:rsidR="00567C3E" w:rsidRPr="002432ED" w:rsidRDefault="00335582" w:rsidP="00567C3E">
      <w:pPr>
        <w:pStyle w:val="Spistreci1"/>
        <w:jc w:val="both"/>
      </w:pPr>
      <w:hyperlink w:anchor="_Toc430872033" w:history="1">
        <w:r w:rsidR="00567C3E" w:rsidRPr="002432ED">
          <w:rPr>
            <w:rStyle w:val="Hipercze"/>
          </w:rPr>
          <w:t>Tabela 51. Wskaźniki planowane do osiągnięcia w obszarze</w:t>
        </w:r>
        <w:r w:rsidR="00567C3E" w:rsidRPr="002432ED">
          <w:rPr>
            <w:webHidden/>
          </w:rPr>
          <w:tab/>
        </w:r>
        <w:r w:rsidR="00567C3E" w:rsidRPr="002432ED">
          <w:rPr>
            <w:webHidden/>
          </w:rPr>
          <w:fldChar w:fldCharType="begin"/>
        </w:r>
        <w:r w:rsidR="00567C3E" w:rsidRPr="002432ED">
          <w:rPr>
            <w:webHidden/>
          </w:rPr>
          <w:instrText xml:space="preserve"> PAGEREF _Toc430872033 \h </w:instrText>
        </w:r>
        <w:r w:rsidR="00567C3E" w:rsidRPr="002432ED">
          <w:rPr>
            <w:webHidden/>
          </w:rPr>
        </w:r>
        <w:r w:rsidR="00567C3E" w:rsidRPr="002432ED">
          <w:rPr>
            <w:webHidden/>
          </w:rPr>
          <w:fldChar w:fldCharType="separate"/>
        </w:r>
        <w:r w:rsidR="00C613D1">
          <w:rPr>
            <w:webHidden/>
          </w:rPr>
          <w:t>144</w:t>
        </w:r>
        <w:r w:rsidR="00567C3E" w:rsidRPr="002432ED">
          <w:rPr>
            <w:webHidden/>
          </w:rPr>
          <w:fldChar w:fldCharType="end"/>
        </w:r>
      </w:hyperlink>
    </w:p>
    <w:p w:rsidR="00567C3E" w:rsidRPr="001534A8" w:rsidRDefault="00567C3E" w:rsidP="00567C3E">
      <w:pPr>
        <w:spacing w:after="0"/>
        <w:jc w:val="both"/>
        <w:rPr>
          <w:rFonts w:ascii="Garamond" w:hAnsi="Garamond"/>
          <w:b/>
          <w:color w:val="4F2D7F"/>
        </w:rPr>
      </w:pPr>
      <w:r w:rsidRPr="002432ED">
        <w:rPr>
          <w:rFonts w:ascii="Garamond" w:hAnsi="Garamond"/>
          <w:b/>
          <w:color w:val="4F2D7F"/>
        </w:rPr>
        <w:fldChar w:fldCharType="end"/>
      </w:r>
    </w:p>
    <w:p w:rsidR="00567C3E" w:rsidRPr="001534A8" w:rsidRDefault="00567C3E" w:rsidP="00567C3E">
      <w:pPr>
        <w:spacing w:after="0"/>
        <w:jc w:val="both"/>
        <w:rPr>
          <w:rFonts w:ascii="Garamond" w:hAnsi="Garamond"/>
          <w:b/>
          <w:color w:val="4F2D7F"/>
        </w:rPr>
      </w:pPr>
      <w:r w:rsidRPr="001534A8">
        <w:rPr>
          <w:rFonts w:ascii="Garamond" w:hAnsi="Garamond"/>
          <w:b/>
          <w:color w:val="4F2D7F"/>
          <w:sz w:val="40"/>
        </w:rPr>
        <w:t>Spis map</w:t>
      </w:r>
    </w:p>
    <w:p w:rsidR="00567C3E" w:rsidRPr="001534A8" w:rsidRDefault="00567C3E" w:rsidP="00567C3E">
      <w:pPr>
        <w:spacing w:after="0" w:line="240" w:lineRule="auto"/>
        <w:jc w:val="both"/>
        <w:rPr>
          <w:rFonts w:ascii="Garamond" w:hAnsi="Garamond"/>
          <w:b/>
          <w:color w:val="4F2D7F"/>
        </w:rPr>
      </w:pPr>
    </w:p>
    <w:p w:rsidR="00567C3E" w:rsidRPr="001534A8" w:rsidRDefault="00567C3E" w:rsidP="00567C3E">
      <w:pPr>
        <w:pStyle w:val="Spistreci1"/>
      </w:pPr>
      <w:r w:rsidRPr="001534A8">
        <w:rPr>
          <w:b/>
          <w:color w:val="4F2D7F"/>
          <w:sz w:val="40"/>
        </w:rPr>
        <w:fldChar w:fldCharType="begin"/>
      </w:r>
      <w:r w:rsidRPr="001534A8">
        <w:rPr>
          <w:b/>
          <w:color w:val="4F2D7F"/>
          <w:sz w:val="40"/>
        </w:rPr>
        <w:instrText xml:space="preserve"> TOC \h \z \t "M;1" </w:instrText>
      </w:r>
      <w:r w:rsidRPr="001534A8">
        <w:rPr>
          <w:b/>
          <w:color w:val="4F2D7F"/>
          <w:sz w:val="40"/>
        </w:rPr>
        <w:fldChar w:fldCharType="separate"/>
      </w:r>
      <w:hyperlink w:anchor="_Toc413676917" w:history="1">
        <w:r w:rsidRPr="001534A8">
          <w:rPr>
            <w:rStyle w:val="Hipercze"/>
          </w:rPr>
          <w:t>Mapa 1. Gminy wchodzące w skład ORSG Powiatu Brodnickiego</w:t>
        </w:r>
        <w:r w:rsidRPr="001534A8">
          <w:rPr>
            <w:webHidden/>
          </w:rPr>
          <w:tab/>
        </w:r>
        <w:r w:rsidRPr="001534A8">
          <w:rPr>
            <w:webHidden/>
          </w:rPr>
          <w:fldChar w:fldCharType="begin"/>
        </w:r>
        <w:r w:rsidRPr="001534A8">
          <w:rPr>
            <w:webHidden/>
          </w:rPr>
          <w:instrText xml:space="preserve"> PAGEREF _Toc413676917 \h </w:instrText>
        </w:r>
        <w:r w:rsidRPr="001534A8">
          <w:rPr>
            <w:webHidden/>
          </w:rPr>
        </w:r>
        <w:r w:rsidRPr="001534A8">
          <w:rPr>
            <w:webHidden/>
          </w:rPr>
          <w:fldChar w:fldCharType="separate"/>
        </w:r>
        <w:r w:rsidR="00C613D1">
          <w:rPr>
            <w:webHidden/>
          </w:rPr>
          <w:t>9</w:t>
        </w:r>
        <w:r w:rsidRPr="001534A8">
          <w:rPr>
            <w:webHidden/>
          </w:rPr>
          <w:fldChar w:fldCharType="end"/>
        </w:r>
      </w:hyperlink>
    </w:p>
    <w:p w:rsidR="00567C3E" w:rsidRPr="001534A8" w:rsidRDefault="00335582" w:rsidP="00567C3E">
      <w:pPr>
        <w:pStyle w:val="Spistreci1"/>
      </w:pPr>
      <w:hyperlink w:anchor="_Toc413676918" w:history="1">
        <w:r w:rsidR="00567C3E" w:rsidRPr="001534A8">
          <w:rPr>
            <w:rStyle w:val="Hipercze"/>
          </w:rPr>
          <w:t>Mapa 2. ORSG Powiatu Brodnickiego na tle województwa kujawsko-pomorskiego</w:t>
        </w:r>
        <w:r w:rsidR="00567C3E" w:rsidRPr="001534A8">
          <w:rPr>
            <w:webHidden/>
          </w:rPr>
          <w:tab/>
        </w:r>
        <w:r w:rsidR="00567C3E" w:rsidRPr="001534A8">
          <w:rPr>
            <w:webHidden/>
          </w:rPr>
          <w:fldChar w:fldCharType="begin"/>
        </w:r>
        <w:r w:rsidR="00567C3E" w:rsidRPr="001534A8">
          <w:rPr>
            <w:webHidden/>
          </w:rPr>
          <w:instrText xml:space="preserve"> PAGEREF _Toc413676918 \h </w:instrText>
        </w:r>
        <w:r w:rsidR="00567C3E" w:rsidRPr="001534A8">
          <w:rPr>
            <w:webHidden/>
          </w:rPr>
        </w:r>
        <w:r w:rsidR="00567C3E" w:rsidRPr="001534A8">
          <w:rPr>
            <w:webHidden/>
          </w:rPr>
          <w:fldChar w:fldCharType="separate"/>
        </w:r>
        <w:r w:rsidR="00C613D1">
          <w:rPr>
            <w:webHidden/>
          </w:rPr>
          <w:t>10</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120"/>
        <w:jc w:val="both"/>
        <w:rPr>
          <w:rFonts w:ascii="Garamond" w:hAnsi="Garamond"/>
          <w:b/>
          <w:color w:val="4F2D7F"/>
          <w:sz w:val="40"/>
        </w:rPr>
      </w:pPr>
      <w:r w:rsidRPr="001534A8">
        <w:rPr>
          <w:rFonts w:ascii="Garamond" w:hAnsi="Garamond"/>
          <w:b/>
          <w:color w:val="4F2D7F"/>
          <w:sz w:val="40"/>
        </w:rPr>
        <w:t>Spis schematów</w:t>
      </w:r>
    </w:p>
    <w:p w:rsidR="00567C3E" w:rsidRPr="001534A8" w:rsidRDefault="00567C3E" w:rsidP="00567C3E">
      <w:pPr>
        <w:pStyle w:val="Spistreci1"/>
        <w:rPr>
          <w:rFonts w:asciiTheme="minorHAnsi" w:hAnsiTheme="minorHAnsi"/>
        </w:rPr>
      </w:pPr>
      <w:r w:rsidRPr="001534A8">
        <w:rPr>
          <w:b/>
          <w:color w:val="4F2D7F"/>
          <w:sz w:val="40"/>
        </w:rPr>
        <w:fldChar w:fldCharType="begin"/>
      </w:r>
      <w:r w:rsidRPr="001534A8">
        <w:rPr>
          <w:b/>
          <w:color w:val="4F2D7F"/>
          <w:sz w:val="40"/>
        </w:rPr>
        <w:instrText xml:space="preserve"> TOC \h \z \t "Schemat;1" </w:instrText>
      </w:r>
      <w:r w:rsidRPr="001534A8">
        <w:rPr>
          <w:b/>
          <w:color w:val="4F2D7F"/>
          <w:sz w:val="40"/>
        </w:rPr>
        <w:fldChar w:fldCharType="separate"/>
      </w:r>
      <w:hyperlink w:anchor="_Toc419110266" w:history="1">
        <w:r w:rsidRPr="001534A8">
          <w:rPr>
            <w:rStyle w:val="Hipercze"/>
          </w:rPr>
          <w:t>Schemat 1. Przygotowanie diagnozy do Strategii</w:t>
        </w:r>
        <w:r w:rsidRPr="001534A8">
          <w:rPr>
            <w:webHidden/>
          </w:rPr>
          <w:tab/>
        </w:r>
        <w:r w:rsidRPr="001534A8">
          <w:rPr>
            <w:webHidden/>
          </w:rPr>
          <w:fldChar w:fldCharType="begin"/>
        </w:r>
        <w:r w:rsidRPr="001534A8">
          <w:rPr>
            <w:webHidden/>
          </w:rPr>
          <w:instrText xml:space="preserve"> PAGEREF _Toc419110266 \h </w:instrText>
        </w:r>
        <w:r w:rsidRPr="001534A8">
          <w:rPr>
            <w:webHidden/>
          </w:rPr>
        </w:r>
        <w:r w:rsidRPr="001534A8">
          <w:rPr>
            <w:webHidden/>
          </w:rPr>
          <w:fldChar w:fldCharType="separate"/>
        </w:r>
        <w:r w:rsidR="00C613D1">
          <w:rPr>
            <w:webHidden/>
          </w:rPr>
          <w:t>6</w:t>
        </w:r>
        <w:r w:rsidRPr="001534A8">
          <w:rPr>
            <w:webHidden/>
          </w:rPr>
          <w:fldChar w:fldCharType="end"/>
        </w:r>
      </w:hyperlink>
    </w:p>
    <w:p w:rsidR="00567C3E" w:rsidRPr="001534A8" w:rsidRDefault="00335582" w:rsidP="00567C3E">
      <w:pPr>
        <w:pStyle w:val="Spistreci1"/>
        <w:rPr>
          <w:rFonts w:asciiTheme="minorHAnsi" w:hAnsiTheme="minorHAnsi"/>
        </w:rPr>
      </w:pPr>
      <w:hyperlink w:anchor="_Toc419110267" w:history="1">
        <w:r w:rsidR="00567C3E" w:rsidRPr="001534A8">
          <w:rPr>
            <w:rStyle w:val="Hipercze"/>
          </w:rPr>
          <w:t>Schemat 2. Proces powstawania Strategii</w:t>
        </w:r>
        <w:r w:rsidR="00567C3E" w:rsidRPr="001534A8">
          <w:rPr>
            <w:webHidden/>
          </w:rPr>
          <w:tab/>
        </w:r>
        <w:r w:rsidR="00567C3E" w:rsidRPr="001534A8">
          <w:rPr>
            <w:webHidden/>
          </w:rPr>
          <w:fldChar w:fldCharType="begin"/>
        </w:r>
        <w:r w:rsidR="00567C3E" w:rsidRPr="001534A8">
          <w:rPr>
            <w:webHidden/>
          </w:rPr>
          <w:instrText xml:space="preserve"> PAGEREF _Toc419110267 \h </w:instrText>
        </w:r>
        <w:r w:rsidR="00567C3E" w:rsidRPr="001534A8">
          <w:rPr>
            <w:webHidden/>
          </w:rPr>
        </w:r>
        <w:r w:rsidR="00567C3E" w:rsidRPr="001534A8">
          <w:rPr>
            <w:webHidden/>
          </w:rPr>
          <w:fldChar w:fldCharType="separate"/>
        </w:r>
        <w:r w:rsidR="00C613D1">
          <w:rPr>
            <w:webHidden/>
          </w:rPr>
          <w:t>6</w:t>
        </w:r>
        <w:r w:rsidR="00567C3E" w:rsidRPr="001534A8">
          <w:rPr>
            <w:webHidden/>
          </w:rPr>
          <w:fldChar w:fldCharType="end"/>
        </w:r>
      </w:hyperlink>
    </w:p>
    <w:p w:rsidR="00567C3E" w:rsidRPr="001534A8" w:rsidRDefault="00335582" w:rsidP="00567C3E">
      <w:pPr>
        <w:pStyle w:val="Spistreci1"/>
        <w:rPr>
          <w:rFonts w:asciiTheme="minorHAnsi" w:hAnsiTheme="minorHAnsi"/>
        </w:rPr>
      </w:pPr>
      <w:hyperlink w:anchor="_Toc419110268" w:history="1">
        <w:r w:rsidR="00567C3E" w:rsidRPr="001534A8">
          <w:rPr>
            <w:rStyle w:val="Hipercze"/>
          </w:rPr>
          <w:t>Schemat 3. Dokumenty strategiczne, z którymi wykazuje zgodność Strategia ORSG</w:t>
        </w:r>
        <w:r w:rsidR="00567C3E" w:rsidRPr="001534A8">
          <w:rPr>
            <w:webHidden/>
          </w:rPr>
          <w:tab/>
        </w:r>
        <w:r w:rsidR="00567C3E" w:rsidRPr="001534A8">
          <w:rPr>
            <w:webHidden/>
          </w:rPr>
          <w:fldChar w:fldCharType="begin"/>
        </w:r>
        <w:r w:rsidR="00567C3E" w:rsidRPr="001534A8">
          <w:rPr>
            <w:webHidden/>
          </w:rPr>
          <w:instrText xml:space="preserve"> PAGEREF _Toc419110268 \h </w:instrText>
        </w:r>
        <w:r w:rsidR="00567C3E" w:rsidRPr="001534A8">
          <w:rPr>
            <w:webHidden/>
          </w:rPr>
        </w:r>
        <w:r w:rsidR="00567C3E" w:rsidRPr="001534A8">
          <w:rPr>
            <w:webHidden/>
          </w:rPr>
          <w:fldChar w:fldCharType="separate"/>
        </w:r>
        <w:r w:rsidR="00C613D1">
          <w:rPr>
            <w:webHidden/>
          </w:rPr>
          <w:t>83</w:t>
        </w:r>
        <w:r w:rsidR="00567C3E" w:rsidRPr="001534A8">
          <w:rPr>
            <w:webHidden/>
          </w:rPr>
          <w:fldChar w:fldCharType="end"/>
        </w:r>
      </w:hyperlink>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fldChar w:fldCharType="end"/>
      </w:r>
    </w:p>
    <w:p w:rsidR="00567C3E" w:rsidRPr="001534A8" w:rsidRDefault="00567C3E" w:rsidP="00567C3E">
      <w:pPr>
        <w:spacing w:after="0"/>
        <w:jc w:val="both"/>
        <w:rPr>
          <w:rFonts w:ascii="Garamond" w:hAnsi="Garamond"/>
          <w:b/>
          <w:color w:val="4F2D7F"/>
          <w:sz w:val="40"/>
        </w:rPr>
      </w:pPr>
      <w:r w:rsidRPr="001534A8">
        <w:rPr>
          <w:rFonts w:ascii="Garamond" w:hAnsi="Garamond"/>
          <w:b/>
          <w:color w:val="4F2D7F"/>
          <w:sz w:val="40"/>
        </w:rPr>
        <w:t xml:space="preserve">Spis wykresów </w:t>
      </w:r>
    </w:p>
    <w:p w:rsidR="00567C3E" w:rsidRPr="001534A8" w:rsidRDefault="00567C3E" w:rsidP="00567C3E">
      <w:pPr>
        <w:pStyle w:val="Spistreci1"/>
      </w:pPr>
    </w:p>
    <w:p w:rsidR="00567C3E" w:rsidRDefault="00567C3E" w:rsidP="00567C3E">
      <w:pPr>
        <w:pStyle w:val="Spistreci1"/>
        <w:jc w:val="both"/>
        <w:rPr>
          <w:rFonts w:asciiTheme="minorHAnsi" w:hAnsiTheme="minorHAnsi"/>
        </w:rPr>
      </w:pPr>
      <w:r w:rsidRPr="001534A8">
        <w:rPr>
          <w:rFonts w:cs="Arial"/>
        </w:rPr>
        <w:fldChar w:fldCharType="begin"/>
      </w:r>
      <w:r w:rsidRPr="001534A8">
        <w:rPr>
          <w:rFonts w:cs="Arial"/>
        </w:rPr>
        <w:instrText xml:space="preserve"> TOC \h \z \t "W;1" </w:instrText>
      </w:r>
      <w:r w:rsidRPr="001534A8">
        <w:rPr>
          <w:rFonts w:cs="Arial"/>
        </w:rPr>
        <w:fldChar w:fldCharType="separate"/>
      </w:r>
      <w:hyperlink w:anchor="_Toc430868381" w:history="1">
        <w:r w:rsidRPr="00CC7251">
          <w:rPr>
            <w:rStyle w:val="Hipercze"/>
          </w:rPr>
          <w:t>Wykres 1. Struktura wiekowa ludności na terenie OSGR Powiatu Brodnickiego w 2013 r.</w:t>
        </w:r>
        <w:r>
          <w:rPr>
            <w:webHidden/>
          </w:rPr>
          <w:tab/>
        </w:r>
        <w:r>
          <w:rPr>
            <w:webHidden/>
          </w:rPr>
          <w:fldChar w:fldCharType="begin"/>
        </w:r>
        <w:r>
          <w:rPr>
            <w:webHidden/>
          </w:rPr>
          <w:instrText xml:space="preserve"> PAGEREF _Toc430868381 \h </w:instrText>
        </w:r>
        <w:r>
          <w:rPr>
            <w:webHidden/>
          </w:rPr>
        </w:r>
        <w:r>
          <w:rPr>
            <w:webHidden/>
          </w:rPr>
          <w:fldChar w:fldCharType="separate"/>
        </w:r>
        <w:r w:rsidR="00C613D1">
          <w:rPr>
            <w:webHidden/>
          </w:rPr>
          <w:t>12</w:t>
        </w:r>
        <w:r>
          <w:rPr>
            <w:webHidden/>
          </w:rPr>
          <w:fldChar w:fldCharType="end"/>
        </w:r>
      </w:hyperlink>
    </w:p>
    <w:p w:rsidR="00567C3E" w:rsidRDefault="00335582" w:rsidP="00567C3E">
      <w:pPr>
        <w:pStyle w:val="Spistreci1"/>
        <w:jc w:val="both"/>
        <w:rPr>
          <w:rFonts w:asciiTheme="minorHAnsi" w:hAnsiTheme="minorHAnsi"/>
        </w:rPr>
      </w:pPr>
      <w:hyperlink w:anchor="_Toc430868382" w:history="1">
        <w:r w:rsidR="00567C3E" w:rsidRPr="00CC7251">
          <w:rPr>
            <w:rStyle w:val="Hipercze"/>
          </w:rPr>
          <w:t>Wykres 2. Struktura wiekowa ludności w Powiecie Brodnickim na tle pozostałych powiatów województwa kujawsko-pomorskiego w 2014 r.</w:t>
        </w:r>
        <w:r w:rsidR="00567C3E">
          <w:rPr>
            <w:webHidden/>
          </w:rPr>
          <w:tab/>
        </w:r>
        <w:r w:rsidR="00567C3E">
          <w:rPr>
            <w:webHidden/>
          </w:rPr>
          <w:fldChar w:fldCharType="begin"/>
        </w:r>
        <w:r w:rsidR="00567C3E">
          <w:rPr>
            <w:webHidden/>
          </w:rPr>
          <w:instrText xml:space="preserve"> PAGEREF _Toc430868382 \h </w:instrText>
        </w:r>
        <w:r w:rsidR="00567C3E">
          <w:rPr>
            <w:webHidden/>
          </w:rPr>
        </w:r>
        <w:r w:rsidR="00567C3E">
          <w:rPr>
            <w:webHidden/>
          </w:rPr>
          <w:fldChar w:fldCharType="separate"/>
        </w:r>
        <w:r w:rsidR="00C613D1">
          <w:rPr>
            <w:webHidden/>
          </w:rPr>
          <w:t>13</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3" w:history="1">
        <w:r w:rsidR="00567C3E" w:rsidRPr="00CC7251">
          <w:rPr>
            <w:rStyle w:val="Hipercze"/>
          </w:rPr>
          <w:t>Wykres 3. Struktura płci i wieku ludności na terenie ORSG Powiatu Brodnickiego w 2013 r.</w:t>
        </w:r>
        <w:r w:rsidR="00567C3E">
          <w:rPr>
            <w:webHidden/>
          </w:rPr>
          <w:tab/>
        </w:r>
        <w:r w:rsidR="00567C3E">
          <w:rPr>
            <w:webHidden/>
          </w:rPr>
          <w:fldChar w:fldCharType="begin"/>
        </w:r>
        <w:r w:rsidR="00567C3E">
          <w:rPr>
            <w:webHidden/>
          </w:rPr>
          <w:instrText xml:space="preserve"> PAGEREF _Toc430868383 \h </w:instrText>
        </w:r>
        <w:r w:rsidR="00567C3E">
          <w:rPr>
            <w:webHidden/>
          </w:rPr>
        </w:r>
        <w:r w:rsidR="00567C3E">
          <w:rPr>
            <w:webHidden/>
          </w:rPr>
          <w:fldChar w:fldCharType="separate"/>
        </w:r>
        <w:r w:rsidR="00C613D1">
          <w:rPr>
            <w:webHidden/>
          </w:rPr>
          <w:t>15</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4" w:history="1">
        <w:r w:rsidR="00567C3E" w:rsidRPr="00CC7251">
          <w:rPr>
            <w:rStyle w:val="Hipercze"/>
          </w:rPr>
          <w:t>Wykres 4. Liczba urodzeń oraz zgonów na terenie ORSG Powiatu Brodnickiego</w:t>
        </w:r>
        <w:r w:rsidR="00567C3E">
          <w:rPr>
            <w:webHidden/>
          </w:rPr>
          <w:tab/>
        </w:r>
        <w:r w:rsidR="00567C3E">
          <w:rPr>
            <w:webHidden/>
          </w:rPr>
          <w:fldChar w:fldCharType="begin"/>
        </w:r>
        <w:r w:rsidR="00567C3E">
          <w:rPr>
            <w:webHidden/>
          </w:rPr>
          <w:instrText xml:space="preserve"> PAGEREF _Toc430868384 \h </w:instrText>
        </w:r>
        <w:r w:rsidR="00567C3E">
          <w:rPr>
            <w:webHidden/>
          </w:rPr>
        </w:r>
        <w:r w:rsidR="00567C3E">
          <w:rPr>
            <w:webHidden/>
          </w:rPr>
          <w:fldChar w:fldCharType="separate"/>
        </w:r>
        <w:r w:rsidR="00C613D1">
          <w:rPr>
            <w:webHidden/>
          </w:rPr>
          <w:t>15</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5" w:history="1">
        <w:r w:rsidR="00567C3E" w:rsidRPr="00CC7251">
          <w:rPr>
            <w:rStyle w:val="Hipercze"/>
          </w:rPr>
          <w:t>Wykres 5. Migracje międzypowiatowe na pobyt stały na terenie ORSG Powiatu Brodnickiego</w:t>
        </w:r>
        <w:r w:rsidR="00567C3E">
          <w:rPr>
            <w:webHidden/>
          </w:rPr>
          <w:tab/>
        </w:r>
        <w:r w:rsidR="00567C3E">
          <w:rPr>
            <w:webHidden/>
          </w:rPr>
          <w:fldChar w:fldCharType="begin"/>
        </w:r>
        <w:r w:rsidR="00567C3E">
          <w:rPr>
            <w:webHidden/>
          </w:rPr>
          <w:instrText xml:space="preserve"> PAGEREF _Toc430868385 \h </w:instrText>
        </w:r>
        <w:r w:rsidR="00567C3E">
          <w:rPr>
            <w:webHidden/>
          </w:rPr>
        </w:r>
        <w:r w:rsidR="00567C3E">
          <w:rPr>
            <w:webHidden/>
          </w:rPr>
          <w:fldChar w:fldCharType="separate"/>
        </w:r>
        <w:r w:rsidR="00C613D1">
          <w:rPr>
            <w:webHidden/>
          </w:rPr>
          <w:t>16</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6" w:history="1">
        <w:r w:rsidR="00567C3E" w:rsidRPr="00CC7251">
          <w:rPr>
            <w:rStyle w:val="Hipercze"/>
          </w:rPr>
          <w:t>Wykres 6. Liczba podmiotów gospodarki narodowej wpisanych do rejestru REGON na 10 tys. ludności w województwie kujawsko-pomorskim w 2013 r.</w:t>
        </w:r>
        <w:r w:rsidR="00567C3E">
          <w:rPr>
            <w:webHidden/>
          </w:rPr>
          <w:tab/>
        </w:r>
        <w:r w:rsidR="00567C3E">
          <w:rPr>
            <w:webHidden/>
          </w:rPr>
          <w:fldChar w:fldCharType="begin"/>
        </w:r>
        <w:r w:rsidR="00567C3E">
          <w:rPr>
            <w:webHidden/>
          </w:rPr>
          <w:instrText xml:space="preserve"> PAGEREF _Toc430868386 \h </w:instrText>
        </w:r>
        <w:r w:rsidR="00567C3E">
          <w:rPr>
            <w:webHidden/>
          </w:rPr>
        </w:r>
        <w:r w:rsidR="00567C3E">
          <w:rPr>
            <w:webHidden/>
          </w:rPr>
          <w:fldChar w:fldCharType="separate"/>
        </w:r>
        <w:r w:rsidR="00C613D1">
          <w:rPr>
            <w:webHidden/>
          </w:rPr>
          <w:t>21</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7" w:history="1">
        <w:r w:rsidR="00567C3E" w:rsidRPr="00CC7251">
          <w:rPr>
            <w:rStyle w:val="Hipercze"/>
            <w:shd w:val="clear" w:color="auto" w:fill="FAFCFF"/>
          </w:rPr>
          <w:t xml:space="preserve">Wykres 7. Podmioty gospodarki narodowej na terenie ORSG </w:t>
        </w:r>
        <w:r w:rsidR="00567C3E" w:rsidRPr="00CC7251">
          <w:rPr>
            <w:rStyle w:val="Hipercze"/>
          </w:rPr>
          <w:t>Powiatu Brodnickiego</w:t>
        </w:r>
        <w:r w:rsidR="00567C3E" w:rsidRPr="00CC7251">
          <w:rPr>
            <w:rStyle w:val="Hipercze"/>
            <w:shd w:val="clear" w:color="auto" w:fill="FAFCFF"/>
          </w:rPr>
          <w:t xml:space="preserve"> według sekcji PKD w 2013 r.</w:t>
        </w:r>
        <w:r w:rsidR="00567C3E">
          <w:rPr>
            <w:webHidden/>
          </w:rPr>
          <w:tab/>
        </w:r>
        <w:r w:rsidR="00567C3E">
          <w:rPr>
            <w:webHidden/>
          </w:rPr>
          <w:fldChar w:fldCharType="begin"/>
        </w:r>
        <w:r w:rsidR="00567C3E">
          <w:rPr>
            <w:webHidden/>
          </w:rPr>
          <w:instrText xml:space="preserve"> PAGEREF _Toc430868387 \h </w:instrText>
        </w:r>
        <w:r w:rsidR="00567C3E">
          <w:rPr>
            <w:webHidden/>
          </w:rPr>
        </w:r>
        <w:r w:rsidR="00567C3E">
          <w:rPr>
            <w:webHidden/>
          </w:rPr>
          <w:fldChar w:fldCharType="separate"/>
        </w:r>
        <w:r w:rsidR="00C613D1">
          <w:rPr>
            <w:webHidden/>
          </w:rPr>
          <w:t>23</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8" w:history="1">
        <w:r w:rsidR="00567C3E" w:rsidRPr="00CC7251">
          <w:rPr>
            <w:rStyle w:val="Hipercze"/>
          </w:rPr>
          <w:t>Wykres 8. Bezrobotni zarejestrowani oraz stopa bezrobocia</w:t>
        </w:r>
        <w:r w:rsidR="00567C3E">
          <w:rPr>
            <w:webHidden/>
          </w:rPr>
          <w:tab/>
        </w:r>
        <w:r w:rsidR="00567C3E">
          <w:rPr>
            <w:webHidden/>
          </w:rPr>
          <w:fldChar w:fldCharType="begin"/>
        </w:r>
        <w:r w:rsidR="00567C3E">
          <w:rPr>
            <w:webHidden/>
          </w:rPr>
          <w:instrText xml:space="preserve"> PAGEREF _Toc430868388 \h </w:instrText>
        </w:r>
        <w:r w:rsidR="00567C3E">
          <w:rPr>
            <w:webHidden/>
          </w:rPr>
        </w:r>
        <w:r w:rsidR="00567C3E">
          <w:rPr>
            <w:webHidden/>
          </w:rPr>
          <w:fldChar w:fldCharType="separate"/>
        </w:r>
        <w:r w:rsidR="00C613D1">
          <w:rPr>
            <w:webHidden/>
          </w:rPr>
          <w:t>25</w:t>
        </w:r>
        <w:r w:rsidR="00567C3E">
          <w:rPr>
            <w:webHidden/>
          </w:rPr>
          <w:fldChar w:fldCharType="end"/>
        </w:r>
      </w:hyperlink>
    </w:p>
    <w:p w:rsidR="00567C3E" w:rsidRDefault="00335582" w:rsidP="00567C3E">
      <w:pPr>
        <w:pStyle w:val="Spistreci1"/>
        <w:jc w:val="both"/>
        <w:rPr>
          <w:rFonts w:asciiTheme="minorHAnsi" w:hAnsiTheme="minorHAnsi"/>
        </w:rPr>
      </w:pPr>
      <w:hyperlink w:anchor="_Toc430868389" w:history="1">
        <w:r w:rsidR="00567C3E" w:rsidRPr="00CC7251">
          <w:rPr>
            <w:rStyle w:val="Hipercze"/>
          </w:rPr>
          <w:t>Wykres 9. Udział bezrobotnych zarejestrowanych w liczbie ludności w wieku produkcyjnym</w:t>
        </w:r>
        <w:r w:rsidR="00567C3E">
          <w:rPr>
            <w:webHidden/>
          </w:rPr>
          <w:tab/>
        </w:r>
        <w:r w:rsidR="00567C3E">
          <w:rPr>
            <w:webHidden/>
          </w:rPr>
          <w:fldChar w:fldCharType="begin"/>
        </w:r>
        <w:r w:rsidR="00567C3E">
          <w:rPr>
            <w:webHidden/>
          </w:rPr>
          <w:instrText xml:space="preserve"> PAGEREF _Toc430868389 \h </w:instrText>
        </w:r>
        <w:r w:rsidR="00567C3E">
          <w:rPr>
            <w:webHidden/>
          </w:rPr>
        </w:r>
        <w:r w:rsidR="00567C3E">
          <w:rPr>
            <w:webHidden/>
          </w:rPr>
          <w:fldChar w:fldCharType="separate"/>
        </w:r>
        <w:r w:rsidR="00C613D1">
          <w:rPr>
            <w:webHidden/>
          </w:rPr>
          <w:t>25</w:t>
        </w:r>
        <w:r w:rsidR="00567C3E">
          <w:rPr>
            <w:webHidden/>
          </w:rPr>
          <w:fldChar w:fldCharType="end"/>
        </w:r>
      </w:hyperlink>
    </w:p>
    <w:p w:rsidR="00567C3E" w:rsidRDefault="00335582" w:rsidP="00567C3E">
      <w:pPr>
        <w:pStyle w:val="Spistreci1"/>
        <w:jc w:val="both"/>
        <w:rPr>
          <w:rFonts w:asciiTheme="minorHAnsi" w:hAnsiTheme="minorHAnsi"/>
        </w:rPr>
      </w:pPr>
      <w:hyperlink w:anchor="_Toc430868390" w:history="1">
        <w:r w:rsidR="00567C3E" w:rsidRPr="00CC7251">
          <w:rPr>
            <w:rStyle w:val="Hipercze"/>
          </w:rPr>
          <w:t>Wykres 10. Bariery rozwoju podmiotów gospodarczych na terenie ORSG Powiatu Brodnickiego</w:t>
        </w:r>
        <w:r w:rsidR="00567C3E">
          <w:rPr>
            <w:webHidden/>
          </w:rPr>
          <w:tab/>
        </w:r>
        <w:r w:rsidR="00567C3E">
          <w:rPr>
            <w:webHidden/>
          </w:rPr>
          <w:fldChar w:fldCharType="begin"/>
        </w:r>
        <w:r w:rsidR="00567C3E">
          <w:rPr>
            <w:webHidden/>
          </w:rPr>
          <w:instrText xml:space="preserve"> PAGEREF _Toc430868390 \h </w:instrText>
        </w:r>
        <w:r w:rsidR="00567C3E">
          <w:rPr>
            <w:webHidden/>
          </w:rPr>
        </w:r>
        <w:r w:rsidR="00567C3E">
          <w:rPr>
            <w:webHidden/>
          </w:rPr>
          <w:fldChar w:fldCharType="separate"/>
        </w:r>
        <w:r w:rsidR="00C613D1">
          <w:rPr>
            <w:webHidden/>
          </w:rPr>
          <w:t>29</w:t>
        </w:r>
        <w:r w:rsidR="00567C3E">
          <w:rPr>
            <w:webHidden/>
          </w:rPr>
          <w:fldChar w:fldCharType="end"/>
        </w:r>
      </w:hyperlink>
    </w:p>
    <w:p w:rsidR="00567C3E" w:rsidRDefault="00335582" w:rsidP="00567C3E">
      <w:pPr>
        <w:pStyle w:val="Spistreci1"/>
        <w:jc w:val="both"/>
        <w:rPr>
          <w:rFonts w:asciiTheme="minorHAnsi" w:hAnsiTheme="minorHAnsi"/>
        </w:rPr>
      </w:pPr>
      <w:hyperlink w:anchor="_Toc430868391" w:history="1">
        <w:r w:rsidR="00567C3E" w:rsidRPr="00CC7251">
          <w:rPr>
            <w:rStyle w:val="Hipercze"/>
          </w:rPr>
          <w:t>Wykres 11. Udział lasów w obszarze gmin ORSG Powiatu Brodnickiego w 2013 r.</w:t>
        </w:r>
        <w:r w:rsidR="00567C3E">
          <w:rPr>
            <w:webHidden/>
          </w:rPr>
          <w:tab/>
        </w:r>
        <w:r w:rsidR="00567C3E">
          <w:rPr>
            <w:webHidden/>
          </w:rPr>
          <w:fldChar w:fldCharType="begin"/>
        </w:r>
        <w:r w:rsidR="00567C3E">
          <w:rPr>
            <w:webHidden/>
          </w:rPr>
          <w:instrText xml:space="preserve"> PAGEREF _Toc430868391 \h </w:instrText>
        </w:r>
        <w:r w:rsidR="00567C3E">
          <w:rPr>
            <w:webHidden/>
          </w:rPr>
        </w:r>
        <w:r w:rsidR="00567C3E">
          <w:rPr>
            <w:webHidden/>
          </w:rPr>
          <w:fldChar w:fldCharType="separate"/>
        </w:r>
        <w:r w:rsidR="00C613D1">
          <w:rPr>
            <w:webHidden/>
          </w:rPr>
          <w:t>58</w:t>
        </w:r>
        <w:r w:rsidR="00567C3E">
          <w:rPr>
            <w:webHidden/>
          </w:rPr>
          <w:fldChar w:fldCharType="end"/>
        </w:r>
      </w:hyperlink>
    </w:p>
    <w:p w:rsidR="00567C3E" w:rsidRDefault="00335582" w:rsidP="00567C3E">
      <w:pPr>
        <w:pStyle w:val="Spistreci1"/>
        <w:jc w:val="both"/>
        <w:rPr>
          <w:rFonts w:asciiTheme="minorHAnsi" w:hAnsiTheme="minorHAnsi"/>
        </w:rPr>
      </w:pPr>
      <w:hyperlink w:anchor="_Toc430868392" w:history="1">
        <w:r w:rsidR="00567C3E" w:rsidRPr="00CC7251">
          <w:rPr>
            <w:rStyle w:val="Hipercze"/>
          </w:rPr>
          <w:t>Wykres 12. Zgłoszone zapotrzebowanie na Internet stacjonarny na 10 000 mieszkańców na terenie ORSG Powiatu Brodnickiego w 2015 r.</w:t>
        </w:r>
        <w:r w:rsidR="00567C3E">
          <w:rPr>
            <w:webHidden/>
          </w:rPr>
          <w:tab/>
        </w:r>
        <w:r w:rsidR="00567C3E">
          <w:rPr>
            <w:webHidden/>
          </w:rPr>
          <w:fldChar w:fldCharType="begin"/>
        </w:r>
        <w:r w:rsidR="00567C3E">
          <w:rPr>
            <w:webHidden/>
          </w:rPr>
          <w:instrText xml:space="preserve"> PAGEREF _Toc430868392 \h </w:instrText>
        </w:r>
        <w:r w:rsidR="00567C3E">
          <w:rPr>
            <w:webHidden/>
          </w:rPr>
        </w:r>
        <w:r w:rsidR="00567C3E">
          <w:rPr>
            <w:webHidden/>
          </w:rPr>
          <w:fldChar w:fldCharType="separate"/>
        </w:r>
        <w:r w:rsidR="00C613D1">
          <w:rPr>
            <w:webHidden/>
          </w:rPr>
          <w:t>69</w:t>
        </w:r>
        <w:r w:rsidR="00567C3E">
          <w:rPr>
            <w:webHidden/>
          </w:rPr>
          <w:fldChar w:fldCharType="end"/>
        </w:r>
      </w:hyperlink>
    </w:p>
    <w:p w:rsidR="00567C3E" w:rsidRPr="00ED4BEA" w:rsidRDefault="00567C3E" w:rsidP="00567C3E">
      <w:pPr>
        <w:spacing w:after="0"/>
        <w:jc w:val="both"/>
        <w:rPr>
          <w:rFonts w:ascii="Garamond" w:hAnsi="Garamond" w:cs="Arial"/>
        </w:rPr>
      </w:pPr>
      <w:r w:rsidRPr="001534A8">
        <w:rPr>
          <w:rFonts w:ascii="Garamond" w:hAnsi="Garamond" w:cs="Arial"/>
        </w:rPr>
        <w:fldChar w:fldCharType="end"/>
      </w:r>
    </w:p>
    <w:p w:rsidR="006F0A3C" w:rsidRDefault="006F0A3C"/>
    <w:sectPr w:rsidR="006F0A3C" w:rsidSect="00D32F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582" w:rsidRDefault="00335582" w:rsidP="00567C3E">
      <w:pPr>
        <w:spacing w:after="0" w:line="240" w:lineRule="auto"/>
      </w:pPr>
      <w:r>
        <w:separator/>
      </w:r>
    </w:p>
  </w:endnote>
  <w:endnote w:type="continuationSeparator" w:id="0">
    <w:p w:rsidR="00335582" w:rsidRDefault="00335582" w:rsidP="0056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Humanst521EU">
    <w:altName w:val="Arial"/>
    <w:panose1 w:val="00000000000000000000"/>
    <w:charset w:val="EE"/>
    <w:family w:val="swiss"/>
    <w:notTrueType/>
    <w:pitch w:val="default"/>
    <w:sig w:usb0="00000001"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OpenSymbol">
    <w:panose1 w:val="05010000000000000000"/>
    <w:charset w:val="00"/>
    <w:family w:val="auto"/>
    <w:pitch w:val="variable"/>
    <w:sig w:usb0="800000AF" w:usb1="1001ECEA" w:usb2="00000000" w:usb3="00000000" w:csb0="00000001" w:csb1="00000000"/>
  </w:font>
  <w:font w:name="A">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46"/>
      <w:docPartObj>
        <w:docPartGallery w:val="Page Numbers (Bottom of Page)"/>
        <w:docPartUnique/>
      </w:docPartObj>
    </w:sdtPr>
    <w:sdtEndPr/>
    <w:sdtContent>
      <w:p w:rsidR="00321284" w:rsidRDefault="00321284">
        <w:pPr>
          <w:pStyle w:val="Stopka"/>
          <w:jc w:val="right"/>
        </w:pPr>
        <w:r>
          <w:t xml:space="preserve">Strona | </w:t>
        </w:r>
        <w:r>
          <w:fldChar w:fldCharType="begin"/>
        </w:r>
        <w:r>
          <w:instrText xml:space="preserve"> PAGE   \* MERGEFORMAT </w:instrText>
        </w:r>
        <w:r>
          <w:fldChar w:fldCharType="separate"/>
        </w:r>
        <w:r w:rsidR="0091486A">
          <w:rPr>
            <w:noProof/>
          </w:rPr>
          <w:t>121</w:t>
        </w:r>
        <w:r>
          <w:rPr>
            <w:noProof/>
          </w:rPr>
          <w:fldChar w:fldCharType="end"/>
        </w:r>
        <w:r>
          <w:t xml:space="preserve"> </w:t>
        </w:r>
      </w:p>
    </w:sdtContent>
  </w:sdt>
  <w:p w:rsidR="00321284" w:rsidRDefault="00321284">
    <w:pPr>
      <w:pStyle w:val="Stopka"/>
    </w:pPr>
    <w:r w:rsidRPr="00AF06CD">
      <w:rPr>
        <w:noProof/>
      </w:rPr>
      <w:drawing>
        <wp:inline distT="0" distB="0" distL="0" distR="0" wp14:anchorId="60727871" wp14:editId="2283841C">
          <wp:extent cx="1266825" cy="395605"/>
          <wp:effectExtent l="19050" t="0" r="9525" b="0"/>
          <wp:docPr id="55"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1"/>
                  <a:srcRect/>
                  <a:stretch>
                    <a:fillRect/>
                  </a:stretch>
                </pic:blipFill>
                <pic:spPr bwMode="auto">
                  <a:xfrm>
                    <a:off x="0" y="0"/>
                    <a:ext cx="1266825" cy="3956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582" w:rsidRDefault="00335582" w:rsidP="00567C3E">
      <w:pPr>
        <w:spacing w:after="0" w:line="240" w:lineRule="auto"/>
      </w:pPr>
      <w:r>
        <w:separator/>
      </w:r>
    </w:p>
  </w:footnote>
  <w:footnote w:type="continuationSeparator" w:id="0">
    <w:p w:rsidR="00335582" w:rsidRDefault="00335582" w:rsidP="00567C3E">
      <w:pPr>
        <w:spacing w:after="0" w:line="240" w:lineRule="auto"/>
      </w:pPr>
      <w:r>
        <w:continuationSeparator/>
      </w:r>
    </w:p>
  </w:footnote>
  <w:footnote w:id="1">
    <w:p w:rsidR="00321284" w:rsidRPr="009B0F2D" w:rsidRDefault="00321284" w:rsidP="00567C3E">
      <w:pPr>
        <w:pStyle w:val="Tekstprzypisudolnego"/>
        <w:rPr>
          <w:rFonts w:ascii="Garamond" w:hAnsi="Garamond"/>
        </w:rPr>
      </w:pPr>
      <w:r w:rsidRPr="009B0F2D">
        <w:rPr>
          <w:rStyle w:val="Odwoanieprzypisudolnego"/>
          <w:rFonts w:ascii="Garamond" w:hAnsi="Garamond"/>
        </w:rPr>
        <w:footnoteRef/>
      </w:r>
      <w:r w:rsidRPr="009B0F2D">
        <w:rPr>
          <w:rFonts w:ascii="Garamond" w:hAnsi="Garamond"/>
        </w:rPr>
        <w:t xml:space="preserve"> Zasady Oceny Strategii Obszaru Rozwoju Społeczno-Gospodarczego przez IZ RPO</w:t>
      </w:r>
    </w:p>
  </w:footnote>
  <w:footnote w:id="2">
    <w:p w:rsidR="00321284" w:rsidRPr="00505633" w:rsidRDefault="00321284" w:rsidP="00567C3E">
      <w:pPr>
        <w:pStyle w:val="Tekstprzypisudolnego"/>
        <w:rPr>
          <w:rFonts w:ascii="Garamond" w:hAnsi="Garamond"/>
        </w:rPr>
      </w:pPr>
      <w:r w:rsidRPr="00505633">
        <w:rPr>
          <w:rStyle w:val="Odwoanieprzypisudolnego"/>
          <w:rFonts w:ascii="Garamond" w:hAnsi="Garamond"/>
        </w:rPr>
        <w:footnoteRef/>
      </w:r>
      <w:r w:rsidRPr="00505633">
        <w:rPr>
          <w:rFonts w:ascii="Garamond" w:hAnsi="Garamond"/>
        </w:rPr>
        <w:t xml:space="preserve"> Powiatowy Urząd Pracy w Brodnicy, stan na styczeń 2015 r.</w:t>
      </w:r>
    </w:p>
  </w:footnote>
  <w:footnote w:id="3">
    <w:p w:rsidR="00321284" w:rsidRPr="00923688" w:rsidRDefault="00321284"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Regionalna Strategia Innowacji Województwa Kujawsko – Pomorskiego na lata 2014-2020</w:t>
      </w:r>
    </w:p>
  </w:footnote>
  <w:footnote w:id="4">
    <w:p w:rsidR="00321284" w:rsidRPr="0045215C" w:rsidRDefault="00321284" w:rsidP="00567C3E">
      <w:pPr>
        <w:pStyle w:val="Tekstprzypisudolnego"/>
        <w:rPr>
          <w:rFonts w:ascii="Garamond" w:hAnsi="Garamond"/>
        </w:rPr>
      </w:pPr>
      <w:r w:rsidRPr="00923688">
        <w:rPr>
          <w:rStyle w:val="Odwoanieprzypisudolnego"/>
          <w:rFonts w:ascii="Garamond" w:hAnsi="Garamond"/>
        </w:rPr>
        <w:footnoteRef/>
      </w:r>
      <w:r w:rsidRPr="00923688">
        <w:rPr>
          <w:rFonts w:ascii="Garamond" w:hAnsi="Garamond"/>
        </w:rPr>
        <w:t xml:space="preserve"> Źródła finansowania działalności MSP w kontekśc</w:t>
      </w:r>
      <w:r>
        <w:rPr>
          <w:rFonts w:ascii="Garamond" w:hAnsi="Garamond"/>
        </w:rPr>
        <w:t>ie ich sytuacji finansowej 2014</w:t>
      </w:r>
    </w:p>
  </w:footnote>
  <w:footnote w:id="5">
    <w:p w:rsidR="00321284" w:rsidRPr="005520F7" w:rsidRDefault="00321284" w:rsidP="00567C3E">
      <w:pPr>
        <w:pStyle w:val="Tekstprzypisudolnego"/>
        <w:jc w:val="both"/>
        <w:rPr>
          <w:rFonts w:ascii="Garamond" w:hAnsi="Garamond"/>
        </w:rPr>
      </w:pPr>
      <w:r w:rsidRPr="005520F7">
        <w:rPr>
          <w:rStyle w:val="Odwoanieprzypisudolnego"/>
          <w:rFonts w:ascii="Garamond" w:hAnsi="Garamond"/>
        </w:rPr>
        <w:footnoteRef/>
      </w:r>
      <w:r w:rsidRPr="005520F7">
        <w:rPr>
          <w:rFonts w:ascii="Garamond" w:hAnsi="Garamond"/>
        </w:rPr>
        <w:t xml:space="preserve"> Monitoring zawodów deficytowych i nadwyżkowych w powiecie brodnickim w I półroczu 2014</w:t>
      </w:r>
      <w:r>
        <w:rPr>
          <w:rFonts w:ascii="Garamond" w:hAnsi="Garamond"/>
        </w:rPr>
        <w:t xml:space="preserve"> r., PUP w Brodnicy</w:t>
      </w:r>
    </w:p>
  </w:footnote>
  <w:footnote w:id="6">
    <w:p w:rsidR="00321284" w:rsidRDefault="00321284" w:rsidP="00567C3E">
      <w:pPr>
        <w:pStyle w:val="Tekstprzypisudolnego"/>
      </w:pPr>
      <w:r>
        <w:rPr>
          <w:rStyle w:val="Odwoanieprzypisudolnego"/>
        </w:rPr>
        <w:footnoteRef/>
      </w:r>
      <w:r>
        <w:t xml:space="preserve"> </w:t>
      </w:r>
      <w:r w:rsidRPr="00CF7656">
        <w:rPr>
          <w:rFonts w:ascii="Garamond" w:hAnsi="Garamond"/>
        </w:rPr>
        <w:t>P</w:t>
      </w:r>
      <w:r>
        <w:rPr>
          <w:rFonts w:ascii="Garamond" w:hAnsi="Garamond"/>
        </w:rPr>
        <w:t>owiatowy Urząd Pracy w Brodnicy</w:t>
      </w:r>
    </w:p>
  </w:footnote>
  <w:footnote w:id="7">
    <w:p w:rsidR="00321284" w:rsidRPr="000F4A90" w:rsidRDefault="00321284" w:rsidP="00567C3E">
      <w:pPr>
        <w:pStyle w:val="Tekstprzypisudolnego"/>
        <w:rPr>
          <w:rFonts w:ascii="Garamond" w:hAnsi="Garamond"/>
        </w:rPr>
      </w:pPr>
      <w:r w:rsidRPr="000F4A90">
        <w:rPr>
          <w:rStyle w:val="Odwoanieprzypisudolnego"/>
          <w:rFonts w:ascii="Garamond" w:hAnsi="Garamond"/>
        </w:rPr>
        <w:footnoteRef/>
      </w:r>
      <w:r w:rsidRPr="000F4A90">
        <w:rPr>
          <w:rFonts w:ascii="Garamond" w:hAnsi="Garamond"/>
        </w:rPr>
        <w:t xml:space="preserve"> Zał. Nr 1 do </w:t>
      </w:r>
      <w:r>
        <w:rPr>
          <w:rFonts w:ascii="Garamond" w:hAnsi="Garamond"/>
        </w:rPr>
        <w:t>Policy P</w:t>
      </w:r>
      <w:r w:rsidRPr="000F4A90">
        <w:rPr>
          <w:rFonts w:ascii="Garamond" w:hAnsi="Garamond"/>
        </w:rPr>
        <w:t>aper dla ochrony zdrowia na lata 2014-2020 Krajowe Strategiczne Ramy</w:t>
      </w:r>
    </w:p>
  </w:footnote>
  <w:footnote w:id="8">
    <w:p w:rsidR="00321284" w:rsidRPr="004378F7" w:rsidRDefault="00321284" w:rsidP="00567C3E">
      <w:pPr>
        <w:pStyle w:val="Tekstprzypisudolnego"/>
        <w:ind w:left="142" w:hanging="142"/>
        <w:rPr>
          <w:rFonts w:ascii="Garamond" w:hAnsi="Garamond" w:cs="Arial"/>
        </w:rPr>
      </w:pPr>
    </w:p>
  </w:footnote>
  <w:footnote w:id="9">
    <w:p w:rsidR="00321284" w:rsidRPr="00BC6792" w:rsidRDefault="00321284" w:rsidP="00567C3E">
      <w:pPr>
        <w:pStyle w:val="Tekstprzypisudolnego"/>
        <w:rPr>
          <w:rFonts w:ascii="Garamond" w:hAnsi="Garamond"/>
        </w:rPr>
      </w:pPr>
      <w:r w:rsidRPr="00BC6792">
        <w:rPr>
          <w:rStyle w:val="Odwoanieprzypisudolnego"/>
          <w:rFonts w:ascii="Garamond" w:hAnsi="Garamond"/>
        </w:rPr>
        <w:footnoteRef/>
      </w:r>
      <w:r w:rsidRPr="00BC6792">
        <w:rPr>
          <w:rFonts w:ascii="Garamond" w:hAnsi="Garamond"/>
        </w:rPr>
        <w:t xml:space="preserve"> </w:t>
      </w:r>
      <w:r w:rsidRPr="00BC6792">
        <w:rPr>
          <w:rFonts w:ascii="Garamond" w:hAnsi="Garamond" w:cs="Cambria"/>
        </w:rPr>
        <w:t>Oświata i wychowanie w roku szkolnym 2012/2013, GUS, Wa</w:t>
      </w:r>
      <w:r>
        <w:rPr>
          <w:rFonts w:ascii="Garamond" w:hAnsi="Garamond" w:cs="Cambria"/>
        </w:rPr>
        <w:t>rszawa 2013</w:t>
      </w:r>
    </w:p>
  </w:footnote>
  <w:footnote w:id="10">
    <w:p w:rsidR="00321284" w:rsidRPr="002B7910" w:rsidRDefault="00321284" w:rsidP="00567C3E">
      <w:pPr>
        <w:autoSpaceDE w:val="0"/>
        <w:autoSpaceDN w:val="0"/>
        <w:adjustRightInd w:val="0"/>
        <w:spacing w:after="0" w:line="240" w:lineRule="auto"/>
        <w:jc w:val="both"/>
        <w:rPr>
          <w:rFonts w:ascii="Garamond" w:hAnsi="Garamond" w:cs="Cambria"/>
          <w:sz w:val="20"/>
          <w:szCs w:val="20"/>
        </w:rPr>
      </w:pPr>
      <w:r w:rsidRPr="002B7910">
        <w:rPr>
          <w:rStyle w:val="Odwoanieprzypisudolnego"/>
          <w:rFonts w:ascii="Garamond" w:hAnsi="Garamond"/>
        </w:rPr>
        <w:footnoteRef/>
      </w:r>
      <w:r w:rsidRPr="002B7910">
        <w:rPr>
          <w:rFonts w:ascii="Garamond" w:hAnsi="Garamond"/>
          <w:sz w:val="20"/>
          <w:szCs w:val="20"/>
        </w:rPr>
        <w:t xml:space="preserve"> </w:t>
      </w:r>
      <w:r w:rsidRPr="002B7910">
        <w:rPr>
          <w:rFonts w:ascii="Garamond" w:hAnsi="Garamond" w:cs="Cambria"/>
          <w:sz w:val="20"/>
          <w:szCs w:val="20"/>
        </w:rPr>
        <w:t>Wyniki egzaminu gimnazjalnego w województwie kujawsko-pomorskim i w kraju w 2013 roku - zestawienie, OKE w Gdańsku</w:t>
      </w:r>
    </w:p>
  </w:footnote>
  <w:footnote w:id="11">
    <w:p w:rsidR="00321284" w:rsidRPr="00981B9E" w:rsidRDefault="00321284" w:rsidP="00567C3E">
      <w:pPr>
        <w:pStyle w:val="Tekstprzypisudolnego"/>
        <w:jc w:val="both"/>
        <w:rPr>
          <w:rFonts w:ascii="Garamond" w:hAnsi="Garamond"/>
        </w:rPr>
      </w:pPr>
      <w:r w:rsidRPr="002B7910">
        <w:rPr>
          <w:rStyle w:val="Odwoanieprzypisudolnego"/>
          <w:rFonts w:ascii="Garamond" w:hAnsi="Garamond"/>
        </w:rPr>
        <w:footnoteRef/>
      </w:r>
      <w:r w:rsidRPr="002B7910">
        <w:rPr>
          <w:rFonts w:ascii="Garamond" w:hAnsi="Garamond"/>
        </w:rPr>
        <w:t xml:space="preserve"> Sprawozdanie z egzaminu maturalnego przeprowadzonego w 2013 roku w województwie kujawsko-pomorskim, OKE w Gdańsku</w:t>
      </w:r>
    </w:p>
  </w:footnote>
  <w:footnote w:id="12">
    <w:p w:rsidR="00321284" w:rsidRPr="007C57DF" w:rsidRDefault="00321284" w:rsidP="00567C3E">
      <w:pPr>
        <w:pStyle w:val="Tekstprzypisudolnego"/>
        <w:jc w:val="both"/>
        <w:rPr>
          <w:rFonts w:ascii="Garamond" w:hAnsi="Garamond"/>
        </w:rPr>
      </w:pPr>
      <w:r w:rsidRPr="007C57DF">
        <w:rPr>
          <w:rStyle w:val="Odwoanieprzypisudolnego"/>
          <w:rFonts w:ascii="Garamond" w:hAnsi="Garamond"/>
        </w:rPr>
        <w:footnoteRef/>
      </w:r>
      <w:r w:rsidRPr="007C57DF">
        <w:rPr>
          <w:rFonts w:ascii="Garamond" w:hAnsi="Garamond"/>
        </w:rPr>
        <w:t xml:space="preserve"> Zalecenie Parlamentu Europejskiego i Rady nr 2006/962/WE z dnia 18 grudnia 2006 r. w sprawie kompetencji kluczowych w procesie uczenia się przez całe życie [Dz.U. L 394 z 30.12.2006]</w:t>
      </w:r>
    </w:p>
  </w:footnote>
  <w:footnote w:id="13">
    <w:p w:rsidR="00321284" w:rsidRPr="002365C4" w:rsidRDefault="00321284" w:rsidP="00567C3E">
      <w:pPr>
        <w:pStyle w:val="Tekstprzypisudolnego"/>
        <w:rPr>
          <w:rFonts w:ascii="Garamond" w:hAnsi="Garamond"/>
        </w:rPr>
      </w:pPr>
      <w:r w:rsidRPr="002365C4">
        <w:rPr>
          <w:rStyle w:val="Odwoanieprzypisudolnego"/>
          <w:rFonts w:ascii="Garamond" w:hAnsi="Garamond"/>
        </w:rPr>
        <w:footnoteRef/>
      </w:r>
      <w:r w:rsidRPr="002365C4">
        <w:rPr>
          <w:rFonts w:ascii="Garamond" w:hAnsi="Garamond"/>
        </w:rPr>
        <w:t xml:space="preserve"> Bank danych lokalnych GUS</w:t>
      </w:r>
    </w:p>
  </w:footnote>
  <w:footnote w:id="14">
    <w:p w:rsidR="00321284" w:rsidRPr="00D83E29" w:rsidRDefault="00321284" w:rsidP="00567C3E">
      <w:pPr>
        <w:pStyle w:val="Tekstprzypisudolnego"/>
        <w:rPr>
          <w:rFonts w:ascii="Garamond" w:hAnsi="Garamond"/>
        </w:rPr>
      </w:pPr>
      <w:r w:rsidRPr="00D83E29">
        <w:rPr>
          <w:rStyle w:val="Odwoanieprzypisudolnego"/>
          <w:rFonts w:ascii="Garamond" w:hAnsi="Garamond"/>
        </w:rPr>
        <w:footnoteRef/>
      </w:r>
      <w:r w:rsidRPr="00D83E29">
        <w:rPr>
          <w:rFonts w:ascii="Garamond" w:hAnsi="Garamond"/>
        </w:rPr>
        <w:t xml:space="preserve"> Regionalny Program Operacyjny Województwa Kujawsko – Pomorskiego na lata 2014 - 2020</w:t>
      </w:r>
    </w:p>
  </w:footnote>
  <w:footnote w:id="15">
    <w:p w:rsidR="00321284" w:rsidRPr="0026078A" w:rsidRDefault="00321284"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Regionalny Program Operacyjny Województwa Kujawsko – Pomorskiego na lata 2014-2020</w:t>
      </w:r>
    </w:p>
  </w:footnote>
  <w:footnote w:id="16">
    <w:p w:rsidR="00321284" w:rsidRPr="0026078A" w:rsidRDefault="00321284"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Eurostat, </w:t>
      </w:r>
      <w:r w:rsidRPr="00F20AB3">
        <w:rPr>
          <w:rFonts w:ascii="Garamond" w:hAnsi="Garamond"/>
        </w:rPr>
        <w:t>http://appsso.eurostat.ec.europa.eu/nui/show.do?dataset=trng_lfse_04&amp;lang=en</w:t>
      </w:r>
    </w:p>
  </w:footnote>
  <w:footnote w:id="17">
    <w:p w:rsidR="00321284" w:rsidRPr="0026078A" w:rsidRDefault="00321284"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w:t>
      </w:r>
      <w:r w:rsidRPr="0026078A">
        <w:rPr>
          <w:rFonts w:ascii="Garamond" w:hAnsi="Garamond"/>
          <w:color w:val="000000"/>
          <w:shd w:val="clear" w:color="auto" w:fill="FFFFFF"/>
        </w:rPr>
        <w:t>Konkluzje Rady z dnia 12 maja 2009 r. w sprawie strategicznych ram Europejskiej współpracy w dziedzinie kształcenia i szkolenia („ET 2020”), Dziennik Urzędowy Unii Europejskiej, 2009/C 119/02</w:t>
      </w:r>
    </w:p>
  </w:footnote>
  <w:footnote w:id="18">
    <w:p w:rsidR="00321284" w:rsidRPr="00FB0129" w:rsidRDefault="00321284" w:rsidP="00567C3E">
      <w:pPr>
        <w:pStyle w:val="Tekstprzypisudolnego"/>
        <w:jc w:val="both"/>
        <w:rPr>
          <w:rFonts w:ascii="Garamond" w:hAnsi="Garamond"/>
        </w:rPr>
      </w:pPr>
      <w:r w:rsidRPr="0026078A">
        <w:rPr>
          <w:rStyle w:val="Odwoanieprzypisudolnego"/>
          <w:rFonts w:ascii="Garamond" w:hAnsi="Garamond"/>
        </w:rPr>
        <w:footnoteRef/>
      </w:r>
      <w:r w:rsidRPr="0026078A">
        <w:rPr>
          <w:rFonts w:ascii="Garamond" w:hAnsi="Garamond"/>
        </w:rPr>
        <w:t xml:space="preserve"> Dane Powiatowego Urzędu Pracy w Brodnicy</w:t>
      </w:r>
      <w:r w:rsidRPr="00FB0129">
        <w:rPr>
          <w:rFonts w:ascii="Garamond" w:hAnsi="Garamond"/>
        </w:rPr>
        <w:t xml:space="preserve"> </w:t>
      </w:r>
    </w:p>
  </w:footnote>
  <w:footnote w:id="19">
    <w:p w:rsidR="00321284" w:rsidRPr="009813D7" w:rsidRDefault="00321284" w:rsidP="00567C3E">
      <w:pPr>
        <w:pStyle w:val="Tekstprzypisudolnego"/>
        <w:jc w:val="both"/>
        <w:rPr>
          <w:rFonts w:ascii="Garamond" w:hAnsi="Garamond"/>
        </w:rPr>
      </w:pPr>
      <w:r w:rsidRPr="009813D7">
        <w:rPr>
          <w:rStyle w:val="Odwoanieprzypisudolnego"/>
          <w:rFonts w:ascii="Garamond" w:hAnsi="Garamond"/>
        </w:rPr>
        <w:footnoteRef/>
      </w:r>
      <w:r w:rsidRPr="009813D7">
        <w:rPr>
          <w:rFonts w:ascii="Garamond" w:hAnsi="Garamond"/>
        </w:rPr>
        <w:t xml:space="preserve"> Narodowa Strategia Rozwoju Kultury</w:t>
      </w:r>
      <w:r>
        <w:rPr>
          <w:rFonts w:ascii="Garamond" w:hAnsi="Garamond"/>
        </w:rPr>
        <w:t xml:space="preserve"> na lata 2007-2013</w:t>
      </w:r>
    </w:p>
  </w:footnote>
  <w:footnote w:id="20">
    <w:p w:rsidR="00321284" w:rsidRPr="00DE2C33" w:rsidRDefault="00321284" w:rsidP="00567C3E">
      <w:pPr>
        <w:pStyle w:val="Tekstprzypisudolnego"/>
        <w:jc w:val="both"/>
        <w:rPr>
          <w:rFonts w:ascii="Garamond" w:hAnsi="Garamond"/>
        </w:rPr>
      </w:pPr>
      <w:r w:rsidRPr="00DE2C33">
        <w:rPr>
          <w:rStyle w:val="Odwoanieprzypisudolnego"/>
          <w:rFonts w:ascii="Garamond" w:hAnsi="Garamond"/>
        </w:rPr>
        <w:footnoteRef/>
      </w:r>
      <w:r w:rsidRPr="00DE2C33">
        <w:rPr>
          <w:rFonts w:ascii="Garamond" w:hAnsi="Garamond"/>
        </w:rPr>
        <w:t xml:space="preserve"> Regionalny Program Operacyjny Województwa Kujawsko – Pomorskiego na lata 2014-</w:t>
      </w:r>
      <w:r>
        <w:rPr>
          <w:rFonts w:ascii="Garamond" w:hAnsi="Garamond"/>
        </w:rPr>
        <w:t>2</w:t>
      </w:r>
      <w:r w:rsidRPr="00DE2C33">
        <w:rPr>
          <w:rFonts w:ascii="Garamond" w:hAnsi="Garamond"/>
        </w:rPr>
        <w:t>020</w:t>
      </w:r>
    </w:p>
  </w:footnote>
  <w:footnote w:id="21">
    <w:p w:rsidR="00321284" w:rsidRPr="000F2722" w:rsidRDefault="00321284" w:rsidP="00567C3E">
      <w:pPr>
        <w:pStyle w:val="Tekstprzypisudolnego"/>
        <w:rPr>
          <w:rFonts w:ascii="Garamond" w:hAnsi="Garamond"/>
        </w:rPr>
      </w:pPr>
      <w:r w:rsidRPr="000F2722">
        <w:rPr>
          <w:rStyle w:val="Odwoanieprzypisudolnego"/>
          <w:rFonts w:ascii="Garamond" w:hAnsi="Garamond"/>
        </w:rPr>
        <w:footnoteRef/>
      </w:r>
      <w:r w:rsidRPr="000F2722">
        <w:rPr>
          <w:rFonts w:ascii="Garamond" w:hAnsi="Garamond"/>
        </w:rPr>
        <w:t xml:space="preserve"> Krajowa Polityka Miejska (projekt wersja I), Ministerstwo</w:t>
      </w:r>
      <w:r>
        <w:rPr>
          <w:rFonts w:ascii="Garamond" w:hAnsi="Garamond"/>
        </w:rPr>
        <w:t xml:space="preserve"> Infrastruktury i Rozwoju, 2014</w:t>
      </w:r>
    </w:p>
  </w:footnote>
  <w:footnote w:id="22">
    <w:p w:rsidR="00321284" w:rsidRDefault="00321284" w:rsidP="00567C3E">
      <w:pPr>
        <w:pStyle w:val="Tekstprzypisudolnego"/>
      </w:pPr>
      <w:r>
        <w:rPr>
          <w:rStyle w:val="Odwoanieprzypisudolnego"/>
        </w:rPr>
        <w:footnoteRef/>
      </w:r>
      <w:r>
        <w:t xml:space="preserve"> </w:t>
      </w:r>
      <w:r w:rsidRPr="00C81FD7">
        <w:rPr>
          <w:rFonts w:ascii="Garamond" w:hAnsi="Garamond"/>
        </w:rPr>
        <w:t>Program Ochrony Środowiska Powiatu Brodnickiego</w:t>
      </w:r>
    </w:p>
  </w:footnote>
  <w:footnote w:id="23">
    <w:p w:rsidR="00321284" w:rsidRPr="00922081" w:rsidRDefault="00321284" w:rsidP="00567C3E">
      <w:pPr>
        <w:pStyle w:val="Tekstprzypisudolnego"/>
        <w:jc w:val="both"/>
        <w:rPr>
          <w:rFonts w:ascii="Garamond" w:hAnsi="Garamond"/>
        </w:rPr>
      </w:pPr>
      <w:r w:rsidRPr="00922081">
        <w:rPr>
          <w:rStyle w:val="Odwoanieprzypisudolnego"/>
          <w:rFonts w:ascii="Garamond" w:hAnsi="Garamond"/>
        </w:rPr>
        <w:footnoteRef/>
      </w:r>
      <w:r w:rsidRPr="00922081">
        <w:rPr>
          <w:rFonts w:ascii="Garamond" w:hAnsi="Garamond"/>
        </w:rPr>
        <w:t xml:space="preserve"> Wojewódzki Inspektorat Ochrony Środowiska w Bydgoszczy, Raport o stanie środowiska województwa kujawsko-pomorskiego w 2013 r.</w:t>
      </w:r>
    </w:p>
  </w:footnote>
  <w:footnote w:id="24">
    <w:p w:rsidR="00321284" w:rsidRPr="004E1195" w:rsidRDefault="00321284" w:rsidP="00567C3E">
      <w:pPr>
        <w:pStyle w:val="Tekstprzypisudolnego"/>
        <w:rPr>
          <w:rFonts w:ascii="Garamond" w:hAnsi="Garamond"/>
        </w:rPr>
      </w:pPr>
      <w:r w:rsidRPr="004E1195">
        <w:rPr>
          <w:rStyle w:val="Odwoanieprzypisudolnego"/>
          <w:rFonts w:ascii="Garamond" w:hAnsi="Garamond"/>
        </w:rPr>
        <w:footnoteRef/>
      </w:r>
      <w:r w:rsidRPr="004E1195">
        <w:rPr>
          <w:rFonts w:ascii="Garamond" w:hAnsi="Garamond"/>
        </w:rPr>
        <w:t xml:space="preserve"> pkps</w:t>
      </w:r>
      <w:r>
        <w:rPr>
          <w:rFonts w:ascii="Garamond" w:hAnsi="Garamond"/>
        </w:rPr>
        <w:t>a</w:t>
      </w:r>
      <w:r w:rsidRPr="004E1195">
        <w:rPr>
          <w:rFonts w:ascii="Garamond" w:hAnsi="Garamond"/>
        </w:rPr>
        <w:t>.pl, Dworce czynne - stan na 2015.03.31</w:t>
      </w:r>
    </w:p>
  </w:footnote>
  <w:footnote w:id="25">
    <w:p w:rsidR="00321284" w:rsidRPr="00036186" w:rsidRDefault="00321284" w:rsidP="00567C3E">
      <w:pPr>
        <w:pStyle w:val="Tekstprzypisudolnego"/>
        <w:rPr>
          <w:rFonts w:ascii="Garamond" w:hAnsi="Garamond"/>
        </w:rPr>
      </w:pPr>
      <w:r w:rsidRPr="00036186">
        <w:rPr>
          <w:rStyle w:val="Odwoanieprzypisudolnego"/>
          <w:rFonts w:ascii="Garamond" w:hAnsi="Garamond"/>
        </w:rPr>
        <w:footnoteRef/>
      </w:r>
      <w:r w:rsidRPr="00036186">
        <w:rPr>
          <w:rFonts w:ascii="Garamond" w:hAnsi="Garamond"/>
        </w:rPr>
        <w:t xml:space="preserve"> Raport o stanie środowiska województwa kujawsko-pomorskiego w 2013 r., WIOŚ w Bydgoszczy</w:t>
      </w:r>
      <w:r>
        <w:rPr>
          <w:rFonts w:ascii="Garamond" w:hAnsi="Garamond"/>
        </w:rPr>
        <w:t>, s. 9</w:t>
      </w:r>
    </w:p>
  </w:footnote>
  <w:footnote w:id="26">
    <w:p w:rsidR="00321284" w:rsidRPr="00BE0B7B" w:rsidRDefault="00321284" w:rsidP="00567C3E">
      <w:pPr>
        <w:pStyle w:val="Tekstprzypisudolnego"/>
        <w:rPr>
          <w:rFonts w:ascii="Garamond" w:hAnsi="Garamond"/>
        </w:rPr>
      </w:pPr>
      <w:r w:rsidRPr="00BE0B7B">
        <w:rPr>
          <w:rStyle w:val="Odwoanieprzypisudolnego"/>
          <w:rFonts w:ascii="Garamond" w:hAnsi="Garamond"/>
        </w:rPr>
        <w:footnoteRef/>
      </w:r>
      <w:r w:rsidRPr="00BE0B7B">
        <w:rPr>
          <w:rFonts w:ascii="Garamond" w:hAnsi="Garamond"/>
        </w:rPr>
        <w:t xml:space="preserve"> Regionalny Program Operacyjny Województwa Kujawsko – Pomorskiego na lata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284" w:rsidRDefault="00321284">
    <w:pPr>
      <w:pStyle w:val="Nagwek"/>
    </w:pPr>
    <w:r>
      <w:rPr>
        <w:noProof/>
      </w:rPr>
      <w:drawing>
        <wp:anchor distT="0" distB="0" distL="114300" distR="114300" simplePos="0" relativeHeight="251659264" behindDoc="1" locked="0" layoutInCell="1" allowOverlap="1" wp14:anchorId="2A6FDFB8" wp14:editId="20E65C81">
          <wp:simplePos x="0" y="0"/>
          <wp:positionH relativeFrom="column">
            <wp:posOffset>3830955</wp:posOffset>
          </wp:positionH>
          <wp:positionV relativeFrom="paragraph">
            <wp:posOffset>-67945</wp:posOffset>
          </wp:positionV>
          <wp:extent cx="1405255" cy="1650365"/>
          <wp:effectExtent l="19050" t="0" r="4445" b="0"/>
          <wp:wrapTight wrapText="bothSides">
            <wp:wrapPolygon edited="0">
              <wp:start x="-293" y="0"/>
              <wp:lineTo x="0" y="15957"/>
              <wp:lineTo x="3514" y="19946"/>
              <wp:lineTo x="6735" y="21193"/>
              <wp:lineTo x="7320" y="21193"/>
              <wp:lineTo x="13762" y="21193"/>
              <wp:lineTo x="14348" y="21193"/>
              <wp:lineTo x="16983" y="20195"/>
              <wp:lineTo x="17569" y="19946"/>
              <wp:lineTo x="20790" y="16456"/>
              <wp:lineTo x="20790" y="15957"/>
              <wp:lineTo x="21668" y="12466"/>
              <wp:lineTo x="21668" y="0"/>
              <wp:lineTo x="-293" y="0"/>
            </wp:wrapPolygon>
          </wp:wrapTight>
          <wp:docPr id="5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405255" cy="1650365"/>
                  </a:xfrm>
                  <a:prstGeom prst="rect">
                    <a:avLst/>
                  </a:prstGeom>
                  <a:noFill/>
                  <a:ln w="9525">
                    <a:noFill/>
                    <a:miter lim="800000"/>
                    <a:headEnd/>
                    <a:tailEnd/>
                  </a:ln>
                </pic:spPr>
              </pic:pic>
            </a:graphicData>
          </a:graphic>
        </wp:anchor>
      </w:drawing>
    </w:r>
    <w:r w:rsidRPr="002104BB">
      <w:rPr>
        <w:noProof/>
      </w:rPr>
      <w:drawing>
        <wp:inline distT="0" distB="0" distL="0" distR="0" wp14:anchorId="40777F5B" wp14:editId="435D8C44">
          <wp:extent cx="2714625" cy="847725"/>
          <wp:effectExtent l="19050" t="0" r="9525" b="0"/>
          <wp:docPr id="57" name="Obraz 1" descr="GTlogo-primary-duże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logo-primary-duże nowe"/>
                  <pic:cNvPicPr>
                    <a:picLocks noChangeAspect="1" noChangeArrowheads="1"/>
                  </pic:cNvPicPr>
                </pic:nvPicPr>
                <pic:blipFill>
                  <a:blip r:embed="rId2"/>
                  <a:srcRect/>
                  <a:stretch>
                    <a:fillRect/>
                  </a:stretch>
                </pic:blipFill>
                <pic:spPr bwMode="auto">
                  <a:xfrm>
                    <a:off x="0" y="0"/>
                    <a:ext cx="2714625" cy="8477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ind w:left="360" w:hanging="360"/>
      </w:pPr>
      <w:rPr>
        <w:rFonts w:ascii="Symbol" w:eastAsia="Times New Roman" w:hAnsi="Symbol"/>
      </w:rPr>
    </w:lvl>
    <w:lvl w:ilvl="1">
      <w:start w:val="1"/>
      <w:numFmt w:val="bullet"/>
      <w:lvlText w:val="o"/>
      <w:lvlJc w:val="left"/>
      <w:pPr>
        <w:ind w:left="720" w:hanging="360"/>
      </w:pPr>
      <w:rPr>
        <w:rFonts w:ascii="Liberation Serif" w:eastAsia="Times New Roman" w:hAnsi="Liberation Serif"/>
      </w:rPr>
    </w:lvl>
    <w:lvl w:ilvl="2">
      <w:start w:val="1"/>
      <w:numFmt w:val="bullet"/>
      <w:lvlText w:val=""/>
      <w:lvlJc w:val="left"/>
      <w:pPr>
        <w:ind w:left="1080" w:hanging="360"/>
      </w:pPr>
      <w:rPr>
        <w:rFonts w:ascii="Liberation Serif" w:eastAsia="Times New Roman" w:hAnsi="Liberation Serif"/>
      </w:rPr>
    </w:lvl>
    <w:lvl w:ilvl="3">
      <w:start w:val="1"/>
      <w:numFmt w:val="bullet"/>
      <w:lvlText w:val=""/>
      <w:lvlJc w:val="left"/>
      <w:pPr>
        <w:ind w:left="1440" w:hanging="360"/>
      </w:pPr>
      <w:rPr>
        <w:rFonts w:ascii="Symbol" w:eastAsia="Times New Roman" w:hAnsi="Symbol"/>
      </w:rPr>
    </w:lvl>
    <w:lvl w:ilvl="4">
      <w:start w:val="1"/>
      <w:numFmt w:val="bullet"/>
      <w:lvlText w:val="o"/>
      <w:lvlJc w:val="left"/>
      <w:pPr>
        <w:ind w:left="1800" w:hanging="360"/>
      </w:pPr>
      <w:rPr>
        <w:rFonts w:ascii="Liberation Serif" w:eastAsia="Times New Roman" w:hAnsi="Liberation Serif"/>
      </w:rPr>
    </w:lvl>
    <w:lvl w:ilvl="5">
      <w:start w:val="1"/>
      <w:numFmt w:val="bullet"/>
      <w:lvlText w:val=""/>
      <w:lvlJc w:val="left"/>
      <w:pPr>
        <w:ind w:left="2160" w:hanging="360"/>
      </w:pPr>
      <w:rPr>
        <w:rFonts w:ascii="Liberation Serif" w:eastAsia="Times New Roman" w:hAnsi="Liberation Serif"/>
      </w:rPr>
    </w:lvl>
    <w:lvl w:ilvl="6">
      <w:start w:val="1"/>
      <w:numFmt w:val="bullet"/>
      <w:lvlText w:val=""/>
      <w:lvlJc w:val="left"/>
      <w:pPr>
        <w:ind w:left="2520" w:hanging="360"/>
      </w:pPr>
      <w:rPr>
        <w:rFonts w:ascii="Symbol" w:eastAsia="Times New Roman" w:hAnsi="Symbol"/>
      </w:rPr>
    </w:lvl>
    <w:lvl w:ilvl="7">
      <w:start w:val="1"/>
      <w:numFmt w:val="bullet"/>
      <w:lvlText w:val="o"/>
      <w:lvlJc w:val="left"/>
      <w:pPr>
        <w:ind w:left="2880" w:hanging="360"/>
      </w:pPr>
      <w:rPr>
        <w:rFonts w:ascii="Liberation Serif" w:eastAsia="Times New Roman" w:hAnsi="Liberation Serif"/>
      </w:rPr>
    </w:lvl>
    <w:lvl w:ilvl="8">
      <w:start w:val="1"/>
      <w:numFmt w:val="bullet"/>
      <w:lvlText w:val=""/>
      <w:lvlJc w:val="left"/>
      <w:pPr>
        <w:ind w:left="3240" w:hanging="360"/>
      </w:pPr>
      <w:rPr>
        <w:rFonts w:ascii="Liberation Serif" w:eastAsia="Times New Roman" w:hAnsi="Liberation Serif"/>
      </w:rPr>
    </w:lvl>
  </w:abstractNum>
  <w:abstractNum w:abstractNumId="1">
    <w:nsid w:val="00154BF6"/>
    <w:multiLevelType w:val="multilevel"/>
    <w:tmpl w:val="B8B8F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597611"/>
    <w:multiLevelType w:val="hybridMultilevel"/>
    <w:tmpl w:val="78E8EB5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28166D"/>
    <w:multiLevelType w:val="multilevel"/>
    <w:tmpl w:val="1100A7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16E7BE6"/>
    <w:multiLevelType w:val="hybridMultilevel"/>
    <w:tmpl w:val="FAE26D5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223178B"/>
    <w:multiLevelType w:val="hybridMultilevel"/>
    <w:tmpl w:val="CD860B3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037B02"/>
    <w:multiLevelType w:val="hybridMultilevel"/>
    <w:tmpl w:val="8DD0001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588513C"/>
    <w:multiLevelType w:val="hybridMultilevel"/>
    <w:tmpl w:val="5F9C7E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9B3E00"/>
    <w:multiLevelType w:val="hybridMultilevel"/>
    <w:tmpl w:val="865E6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52362A"/>
    <w:multiLevelType w:val="multilevel"/>
    <w:tmpl w:val="3BA6CB8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73416F1"/>
    <w:multiLevelType w:val="hybridMultilevel"/>
    <w:tmpl w:val="84CA9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7561998"/>
    <w:multiLevelType w:val="hybridMultilevel"/>
    <w:tmpl w:val="2FC290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85F5507"/>
    <w:multiLevelType w:val="hybridMultilevel"/>
    <w:tmpl w:val="652499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9041960"/>
    <w:multiLevelType w:val="hybridMultilevel"/>
    <w:tmpl w:val="78DAE0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A7C6EEF"/>
    <w:multiLevelType w:val="hybridMultilevel"/>
    <w:tmpl w:val="1F02F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CE010BE"/>
    <w:multiLevelType w:val="hybridMultilevel"/>
    <w:tmpl w:val="C506276E"/>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DF77565"/>
    <w:multiLevelType w:val="hybridMultilevel"/>
    <w:tmpl w:val="D6144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5E590F"/>
    <w:multiLevelType w:val="hybridMultilevel"/>
    <w:tmpl w:val="B3ECE3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9F2A81"/>
    <w:multiLevelType w:val="hybridMultilevel"/>
    <w:tmpl w:val="8ABCE3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F402C95"/>
    <w:multiLevelType w:val="hybridMultilevel"/>
    <w:tmpl w:val="04F20F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0206045"/>
    <w:multiLevelType w:val="hybridMultilevel"/>
    <w:tmpl w:val="F5FEBA7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2004645"/>
    <w:multiLevelType w:val="hybridMultilevel"/>
    <w:tmpl w:val="34506E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222456F"/>
    <w:multiLevelType w:val="hybridMultilevel"/>
    <w:tmpl w:val="CCC2E21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3C51C2D"/>
    <w:multiLevelType w:val="hybridMultilevel"/>
    <w:tmpl w:val="1E782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3CD547E"/>
    <w:multiLevelType w:val="hybridMultilevel"/>
    <w:tmpl w:val="6F6885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3D57D3D"/>
    <w:multiLevelType w:val="hybridMultilevel"/>
    <w:tmpl w:val="E932C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13FE3591"/>
    <w:multiLevelType w:val="hybridMultilevel"/>
    <w:tmpl w:val="6B24D3F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5052302"/>
    <w:multiLevelType w:val="hybridMultilevel"/>
    <w:tmpl w:val="7794FBA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55D32DB"/>
    <w:multiLevelType w:val="hybridMultilevel"/>
    <w:tmpl w:val="97ECC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5800CAA"/>
    <w:multiLevelType w:val="hybridMultilevel"/>
    <w:tmpl w:val="1EF628B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5F46F78"/>
    <w:multiLevelType w:val="hybridMultilevel"/>
    <w:tmpl w:val="2FD8F3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6394EEB"/>
    <w:multiLevelType w:val="hybridMultilevel"/>
    <w:tmpl w:val="9632648C"/>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1792627F"/>
    <w:multiLevelType w:val="hybridMultilevel"/>
    <w:tmpl w:val="EC760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95A4911"/>
    <w:multiLevelType w:val="hybridMultilevel"/>
    <w:tmpl w:val="A3A8EC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1A7C2B8A"/>
    <w:multiLevelType w:val="hybridMultilevel"/>
    <w:tmpl w:val="F52E6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09655F6"/>
    <w:multiLevelType w:val="hybridMultilevel"/>
    <w:tmpl w:val="EE70C07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0E069DD"/>
    <w:multiLevelType w:val="hybridMultilevel"/>
    <w:tmpl w:val="08BEA49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1142D93"/>
    <w:multiLevelType w:val="hybridMultilevel"/>
    <w:tmpl w:val="340071B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21835189"/>
    <w:multiLevelType w:val="hybridMultilevel"/>
    <w:tmpl w:val="625CEB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22F14D8"/>
    <w:multiLevelType w:val="hybridMultilevel"/>
    <w:tmpl w:val="A44A5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25F50B3"/>
    <w:multiLevelType w:val="hybridMultilevel"/>
    <w:tmpl w:val="36861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2B23BAE"/>
    <w:multiLevelType w:val="hybridMultilevel"/>
    <w:tmpl w:val="855A77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246D2464"/>
    <w:multiLevelType w:val="hybridMultilevel"/>
    <w:tmpl w:val="D68EB18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25D758B4"/>
    <w:multiLevelType w:val="hybridMultilevel"/>
    <w:tmpl w:val="5296C3C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nsid w:val="26BD50E4"/>
    <w:multiLevelType w:val="hybridMultilevel"/>
    <w:tmpl w:val="E1B44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7C15FB5"/>
    <w:multiLevelType w:val="multilevel"/>
    <w:tmpl w:val="C20E0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281B3ED6"/>
    <w:multiLevelType w:val="multilevel"/>
    <w:tmpl w:val="8F38D8A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288F2CB3"/>
    <w:multiLevelType w:val="hybridMultilevel"/>
    <w:tmpl w:val="0A78E5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29B1301C"/>
    <w:multiLevelType w:val="hybridMultilevel"/>
    <w:tmpl w:val="C13817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B6621DB"/>
    <w:multiLevelType w:val="hybridMultilevel"/>
    <w:tmpl w:val="33D24A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BDB3033"/>
    <w:multiLevelType w:val="hybridMultilevel"/>
    <w:tmpl w:val="9C26CA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2D670D90"/>
    <w:multiLevelType w:val="hybridMultilevel"/>
    <w:tmpl w:val="242E57DA"/>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DC77658"/>
    <w:multiLevelType w:val="hybridMultilevel"/>
    <w:tmpl w:val="D7FA23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2EC9090A"/>
    <w:multiLevelType w:val="hybridMultilevel"/>
    <w:tmpl w:val="F234608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2EEA777F"/>
    <w:multiLevelType w:val="hybridMultilevel"/>
    <w:tmpl w:val="269CB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13B5B55"/>
    <w:multiLevelType w:val="hybridMultilevel"/>
    <w:tmpl w:val="382EC73A"/>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31BA624F"/>
    <w:multiLevelType w:val="hybridMultilevel"/>
    <w:tmpl w:val="6E6CC7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0C36CE"/>
    <w:multiLevelType w:val="hybridMultilevel"/>
    <w:tmpl w:val="62B65A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32517DA5"/>
    <w:multiLevelType w:val="hybridMultilevel"/>
    <w:tmpl w:val="06A690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33340287"/>
    <w:multiLevelType w:val="hybridMultilevel"/>
    <w:tmpl w:val="351E15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33FB6235"/>
    <w:multiLevelType w:val="hybridMultilevel"/>
    <w:tmpl w:val="8B0604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343D4A29"/>
    <w:multiLevelType w:val="hybridMultilevel"/>
    <w:tmpl w:val="A5621B6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34EB56DF"/>
    <w:multiLevelType w:val="hybridMultilevel"/>
    <w:tmpl w:val="D71606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38CC2B69"/>
    <w:multiLevelType w:val="hybridMultilevel"/>
    <w:tmpl w:val="3BD230F2"/>
    <w:lvl w:ilvl="0" w:tplc="04150001">
      <w:start w:val="1"/>
      <w:numFmt w:val="bullet"/>
      <w:lvlText w:val=""/>
      <w:lvlJc w:val="left"/>
      <w:pPr>
        <w:ind w:left="4998" w:hanging="360"/>
      </w:pPr>
      <w:rPr>
        <w:rFonts w:ascii="Symbol" w:hAnsi="Symbol" w:hint="default"/>
      </w:rPr>
    </w:lvl>
    <w:lvl w:ilvl="1" w:tplc="04150003" w:tentative="1">
      <w:start w:val="1"/>
      <w:numFmt w:val="bullet"/>
      <w:lvlText w:val="o"/>
      <w:lvlJc w:val="left"/>
      <w:pPr>
        <w:ind w:left="5718" w:hanging="360"/>
      </w:pPr>
      <w:rPr>
        <w:rFonts w:ascii="Courier New" w:hAnsi="Courier New" w:cs="Courier New" w:hint="default"/>
      </w:rPr>
    </w:lvl>
    <w:lvl w:ilvl="2" w:tplc="04150005" w:tentative="1">
      <w:start w:val="1"/>
      <w:numFmt w:val="bullet"/>
      <w:lvlText w:val=""/>
      <w:lvlJc w:val="left"/>
      <w:pPr>
        <w:ind w:left="6438" w:hanging="360"/>
      </w:pPr>
      <w:rPr>
        <w:rFonts w:ascii="Wingdings" w:hAnsi="Wingdings" w:hint="default"/>
      </w:rPr>
    </w:lvl>
    <w:lvl w:ilvl="3" w:tplc="04150001" w:tentative="1">
      <w:start w:val="1"/>
      <w:numFmt w:val="bullet"/>
      <w:lvlText w:val=""/>
      <w:lvlJc w:val="left"/>
      <w:pPr>
        <w:ind w:left="7158" w:hanging="360"/>
      </w:pPr>
      <w:rPr>
        <w:rFonts w:ascii="Symbol" w:hAnsi="Symbol" w:hint="default"/>
      </w:rPr>
    </w:lvl>
    <w:lvl w:ilvl="4" w:tplc="04150003" w:tentative="1">
      <w:start w:val="1"/>
      <w:numFmt w:val="bullet"/>
      <w:lvlText w:val="o"/>
      <w:lvlJc w:val="left"/>
      <w:pPr>
        <w:ind w:left="7878" w:hanging="360"/>
      </w:pPr>
      <w:rPr>
        <w:rFonts w:ascii="Courier New" w:hAnsi="Courier New" w:cs="Courier New" w:hint="default"/>
      </w:rPr>
    </w:lvl>
    <w:lvl w:ilvl="5" w:tplc="04150005" w:tentative="1">
      <w:start w:val="1"/>
      <w:numFmt w:val="bullet"/>
      <w:lvlText w:val=""/>
      <w:lvlJc w:val="left"/>
      <w:pPr>
        <w:ind w:left="8598" w:hanging="360"/>
      </w:pPr>
      <w:rPr>
        <w:rFonts w:ascii="Wingdings" w:hAnsi="Wingdings" w:hint="default"/>
      </w:rPr>
    </w:lvl>
    <w:lvl w:ilvl="6" w:tplc="04150001" w:tentative="1">
      <w:start w:val="1"/>
      <w:numFmt w:val="bullet"/>
      <w:lvlText w:val=""/>
      <w:lvlJc w:val="left"/>
      <w:pPr>
        <w:ind w:left="9318" w:hanging="360"/>
      </w:pPr>
      <w:rPr>
        <w:rFonts w:ascii="Symbol" w:hAnsi="Symbol" w:hint="default"/>
      </w:rPr>
    </w:lvl>
    <w:lvl w:ilvl="7" w:tplc="04150003" w:tentative="1">
      <w:start w:val="1"/>
      <w:numFmt w:val="bullet"/>
      <w:lvlText w:val="o"/>
      <w:lvlJc w:val="left"/>
      <w:pPr>
        <w:ind w:left="10038" w:hanging="360"/>
      </w:pPr>
      <w:rPr>
        <w:rFonts w:ascii="Courier New" w:hAnsi="Courier New" w:cs="Courier New" w:hint="default"/>
      </w:rPr>
    </w:lvl>
    <w:lvl w:ilvl="8" w:tplc="04150005" w:tentative="1">
      <w:start w:val="1"/>
      <w:numFmt w:val="bullet"/>
      <w:lvlText w:val=""/>
      <w:lvlJc w:val="left"/>
      <w:pPr>
        <w:ind w:left="10758" w:hanging="360"/>
      </w:pPr>
      <w:rPr>
        <w:rFonts w:ascii="Wingdings" w:hAnsi="Wingdings" w:hint="default"/>
      </w:rPr>
    </w:lvl>
  </w:abstractNum>
  <w:abstractNum w:abstractNumId="64">
    <w:nsid w:val="3A592280"/>
    <w:multiLevelType w:val="hybridMultilevel"/>
    <w:tmpl w:val="8AE03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CC8167A"/>
    <w:multiLevelType w:val="hybridMultilevel"/>
    <w:tmpl w:val="197E6B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3D147B49"/>
    <w:multiLevelType w:val="hybridMultilevel"/>
    <w:tmpl w:val="DF486FC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E266B74"/>
    <w:multiLevelType w:val="hybridMultilevel"/>
    <w:tmpl w:val="15D4C5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3FBE1B93"/>
    <w:multiLevelType w:val="hybridMultilevel"/>
    <w:tmpl w:val="F5DA3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0247410"/>
    <w:multiLevelType w:val="hybridMultilevel"/>
    <w:tmpl w:val="C9C40D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06409C3"/>
    <w:multiLevelType w:val="hybridMultilevel"/>
    <w:tmpl w:val="431E68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08E36CA"/>
    <w:multiLevelType w:val="hybridMultilevel"/>
    <w:tmpl w:val="5B1484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40912BAA"/>
    <w:multiLevelType w:val="hybridMultilevel"/>
    <w:tmpl w:val="AFC478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40F35AE2"/>
    <w:multiLevelType w:val="hybridMultilevel"/>
    <w:tmpl w:val="D0CCB3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12A2647"/>
    <w:multiLevelType w:val="multilevel"/>
    <w:tmpl w:val="30A47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41400023"/>
    <w:multiLevelType w:val="hybridMultilevel"/>
    <w:tmpl w:val="EB549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433C0B3B"/>
    <w:multiLevelType w:val="hybridMultilevel"/>
    <w:tmpl w:val="32E273C2"/>
    <w:lvl w:ilvl="0" w:tplc="A6D6EFDA">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77">
    <w:nsid w:val="43961444"/>
    <w:multiLevelType w:val="hybridMultilevel"/>
    <w:tmpl w:val="BC84B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451C0A8B"/>
    <w:multiLevelType w:val="hybridMultilevel"/>
    <w:tmpl w:val="2E18C5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452E27F2"/>
    <w:multiLevelType w:val="hybridMultilevel"/>
    <w:tmpl w:val="6B34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6097AF8"/>
    <w:multiLevelType w:val="hybridMultilevel"/>
    <w:tmpl w:val="91F4DA9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47AB2E88"/>
    <w:multiLevelType w:val="hybridMultilevel"/>
    <w:tmpl w:val="29E251EA"/>
    <w:lvl w:ilvl="0" w:tplc="6E367DA2">
      <w:start w:val="40"/>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82">
    <w:nsid w:val="47F12A7D"/>
    <w:multiLevelType w:val="hybridMultilevel"/>
    <w:tmpl w:val="67162F24"/>
    <w:lvl w:ilvl="0" w:tplc="F2CE55CC">
      <w:start w:val="1"/>
      <w:numFmt w:val="bullet"/>
      <w:lvlText w:val=""/>
      <w:lvlJc w:val="left"/>
      <w:pPr>
        <w:ind w:left="360" w:hanging="360"/>
      </w:pPr>
      <w:rPr>
        <w:rFonts w:ascii="Wingdings" w:hAnsi="Wingdings" w:hint="default"/>
      </w:rPr>
    </w:lvl>
    <w:lvl w:ilvl="1" w:tplc="E44E3A62" w:tentative="1">
      <w:start w:val="1"/>
      <w:numFmt w:val="bullet"/>
      <w:lvlText w:val="o"/>
      <w:lvlJc w:val="left"/>
      <w:pPr>
        <w:ind w:left="1080" w:hanging="360"/>
      </w:pPr>
      <w:rPr>
        <w:rFonts w:ascii="Courier New" w:hAnsi="Courier New" w:cs="Courier New" w:hint="default"/>
      </w:rPr>
    </w:lvl>
    <w:lvl w:ilvl="2" w:tplc="358A5CA0" w:tentative="1">
      <w:start w:val="1"/>
      <w:numFmt w:val="bullet"/>
      <w:lvlText w:val=""/>
      <w:lvlJc w:val="left"/>
      <w:pPr>
        <w:ind w:left="1800" w:hanging="360"/>
      </w:pPr>
      <w:rPr>
        <w:rFonts w:ascii="Wingdings" w:hAnsi="Wingdings" w:hint="default"/>
      </w:rPr>
    </w:lvl>
    <w:lvl w:ilvl="3" w:tplc="F1ACD6FA" w:tentative="1">
      <w:start w:val="1"/>
      <w:numFmt w:val="bullet"/>
      <w:lvlText w:val=""/>
      <w:lvlJc w:val="left"/>
      <w:pPr>
        <w:ind w:left="2520" w:hanging="360"/>
      </w:pPr>
      <w:rPr>
        <w:rFonts w:ascii="Symbol" w:hAnsi="Symbol" w:hint="default"/>
      </w:rPr>
    </w:lvl>
    <w:lvl w:ilvl="4" w:tplc="D72C29C4" w:tentative="1">
      <w:start w:val="1"/>
      <w:numFmt w:val="bullet"/>
      <w:lvlText w:val="o"/>
      <w:lvlJc w:val="left"/>
      <w:pPr>
        <w:ind w:left="3240" w:hanging="360"/>
      </w:pPr>
      <w:rPr>
        <w:rFonts w:ascii="Courier New" w:hAnsi="Courier New" w:cs="Courier New" w:hint="default"/>
      </w:rPr>
    </w:lvl>
    <w:lvl w:ilvl="5" w:tplc="8ECA425C" w:tentative="1">
      <w:start w:val="1"/>
      <w:numFmt w:val="bullet"/>
      <w:lvlText w:val=""/>
      <w:lvlJc w:val="left"/>
      <w:pPr>
        <w:ind w:left="3960" w:hanging="360"/>
      </w:pPr>
      <w:rPr>
        <w:rFonts w:ascii="Wingdings" w:hAnsi="Wingdings" w:hint="default"/>
      </w:rPr>
    </w:lvl>
    <w:lvl w:ilvl="6" w:tplc="1C540274" w:tentative="1">
      <w:start w:val="1"/>
      <w:numFmt w:val="bullet"/>
      <w:lvlText w:val=""/>
      <w:lvlJc w:val="left"/>
      <w:pPr>
        <w:ind w:left="4680" w:hanging="360"/>
      </w:pPr>
      <w:rPr>
        <w:rFonts w:ascii="Symbol" w:hAnsi="Symbol" w:hint="default"/>
      </w:rPr>
    </w:lvl>
    <w:lvl w:ilvl="7" w:tplc="6BBED218" w:tentative="1">
      <w:start w:val="1"/>
      <w:numFmt w:val="bullet"/>
      <w:lvlText w:val="o"/>
      <w:lvlJc w:val="left"/>
      <w:pPr>
        <w:ind w:left="5400" w:hanging="360"/>
      </w:pPr>
      <w:rPr>
        <w:rFonts w:ascii="Courier New" w:hAnsi="Courier New" w:cs="Courier New" w:hint="default"/>
      </w:rPr>
    </w:lvl>
    <w:lvl w:ilvl="8" w:tplc="86EA26BA" w:tentative="1">
      <w:start w:val="1"/>
      <w:numFmt w:val="bullet"/>
      <w:lvlText w:val=""/>
      <w:lvlJc w:val="left"/>
      <w:pPr>
        <w:ind w:left="6120" w:hanging="360"/>
      </w:pPr>
      <w:rPr>
        <w:rFonts w:ascii="Wingdings" w:hAnsi="Wingdings" w:hint="default"/>
      </w:rPr>
    </w:lvl>
  </w:abstractNum>
  <w:abstractNum w:abstractNumId="83">
    <w:nsid w:val="48094EFC"/>
    <w:multiLevelType w:val="hybridMultilevel"/>
    <w:tmpl w:val="B89855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843028A"/>
    <w:multiLevelType w:val="hybridMultilevel"/>
    <w:tmpl w:val="24F429F4"/>
    <w:lvl w:ilvl="0" w:tplc="F1D88178">
      <w:start w:val="1"/>
      <w:numFmt w:val="bullet"/>
      <w:lvlText w:val=""/>
      <w:lvlJc w:val="left"/>
      <w:pPr>
        <w:ind w:left="360" w:hanging="360"/>
      </w:pPr>
      <w:rPr>
        <w:rFonts w:ascii="Wingdings" w:hAnsi="Wingdings" w:hint="default"/>
      </w:rPr>
    </w:lvl>
    <w:lvl w:ilvl="1" w:tplc="4554F8CA" w:tentative="1">
      <w:start w:val="1"/>
      <w:numFmt w:val="bullet"/>
      <w:lvlText w:val="o"/>
      <w:lvlJc w:val="left"/>
      <w:pPr>
        <w:ind w:left="1080" w:hanging="360"/>
      </w:pPr>
      <w:rPr>
        <w:rFonts w:ascii="Courier New" w:hAnsi="Courier New" w:cs="Courier New" w:hint="default"/>
      </w:rPr>
    </w:lvl>
    <w:lvl w:ilvl="2" w:tplc="FC4C7B80" w:tentative="1">
      <w:start w:val="1"/>
      <w:numFmt w:val="bullet"/>
      <w:lvlText w:val=""/>
      <w:lvlJc w:val="left"/>
      <w:pPr>
        <w:ind w:left="1800" w:hanging="360"/>
      </w:pPr>
      <w:rPr>
        <w:rFonts w:ascii="Wingdings" w:hAnsi="Wingdings" w:hint="default"/>
      </w:rPr>
    </w:lvl>
    <w:lvl w:ilvl="3" w:tplc="4B9C0B5E" w:tentative="1">
      <w:start w:val="1"/>
      <w:numFmt w:val="bullet"/>
      <w:lvlText w:val=""/>
      <w:lvlJc w:val="left"/>
      <w:pPr>
        <w:ind w:left="2520" w:hanging="360"/>
      </w:pPr>
      <w:rPr>
        <w:rFonts w:ascii="Symbol" w:hAnsi="Symbol" w:hint="default"/>
      </w:rPr>
    </w:lvl>
    <w:lvl w:ilvl="4" w:tplc="848A07E4" w:tentative="1">
      <w:start w:val="1"/>
      <w:numFmt w:val="bullet"/>
      <w:lvlText w:val="o"/>
      <w:lvlJc w:val="left"/>
      <w:pPr>
        <w:ind w:left="3240" w:hanging="360"/>
      </w:pPr>
      <w:rPr>
        <w:rFonts w:ascii="Courier New" w:hAnsi="Courier New" w:cs="Courier New" w:hint="default"/>
      </w:rPr>
    </w:lvl>
    <w:lvl w:ilvl="5" w:tplc="17707B5C" w:tentative="1">
      <w:start w:val="1"/>
      <w:numFmt w:val="bullet"/>
      <w:lvlText w:val=""/>
      <w:lvlJc w:val="left"/>
      <w:pPr>
        <w:ind w:left="3960" w:hanging="360"/>
      </w:pPr>
      <w:rPr>
        <w:rFonts w:ascii="Wingdings" w:hAnsi="Wingdings" w:hint="default"/>
      </w:rPr>
    </w:lvl>
    <w:lvl w:ilvl="6" w:tplc="117657CC" w:tentative="1">
      <w:start w:val="1"/>
      <w:numFmt w:val="bullet"/>
      <w:lvlText w:val=""/>
      <w:lvlJc w:val="left"/>
      <w:pPr>
        <w:ind w:left="4680" w:hanging="360"/>
      </w:pPr>
      <w:rPr>
        <w:rFonts w:ascii="Symbol" w:hAnsi="Symbol" w:hint="default"/>
      </w:rPr>
    </w:lvl>
    <w:lvl w:ilvl="7" w:tplc="C5F609C0" w:tentative="1">
      <w:start w:val="1"/>
      <w:numFmt w:val="bullet"/>
      <w:lvlText w:val="o"/>
      <w:lvlJc w:val="left"/>
      <w:pPr>
        <w:ind w:left="5400" w:hanging="360"/>
      </w:pPr>
      <w:rPr>
        <w:rFonts w:ascii="Courier New" w:hAnsi="Courier New" w:cs="Courier New" w:hint="default"/>
      </w:rPr>
    </w:lvl>
    <w:lvl w:ilvl="8" w:tplc="7AAA58DA" w:tentative="1">
      <w:start w:val="1"/>
      <w:numFmt w:val="bullet"/>
      <w:lvlText w:val=""/>
      <w:lvlJc w:val="left"/>
      <w:pPr>
        <w:ind w:left="6120" w:hanging="360"/>
      </w:pPr>
      <w:rPr>
        <w:rFonts w:ascii="Wingdings" w:hAnsi="Wingdings" w:hint="default"/>
      </w:rPr>
    </w:lvl>
  </w:abstractNum>
  <w:abstractNum w:abstractNumId="85">
    <w:nsid w:val="48B34895"/>
    <w:multiLevelType w:val="hybridMultilevel"/>
    <w:tmpl w:val="6F3497EE"/>
    <w:lvl w:ilvl="0" w:tplc="04150005">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86">
    <w:nsid w:val="49AA490A"/>
    <w:multiLevelType w:val="hybridMultilevel"/>
    <w:tmpl w:val="88A237D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49D36D6B"/>
    <w:multiLevelType w:val="hybridMultilevel"/>
    <w:tmpl w:val="FD02CA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4A740AB9"/>
    <w:multiLevelType w:val="hybridMultilevel"/>
    <w:tmpl w:val="31B67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4AEC0D37"/>
    <w:multiLevelType w:val="multilevel"/>
    <w:tmpl w:val="5F70B5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4C4666FF"/>
    <w:multiLevelType w:val="hybridMultilevel"/>
    <w:tmpl w:val="463E4580"/>
    <w:lvl w:ilvl="0" w:tplc="EE224CB6">
      <w:start w:val="1"/>
      <w:numFmt w:val="bullet"/>
      <w:lvlText w:val=""/>
      <w:lvlJc w:val="left"/>
      <w:pPr>
        <w:ind w:left="360" w:hanging="360"/>
      </w:pPr>
      <w:rPr>
        <w:rFonts w:ascii="Wingdings" w:hAnsi="Wingdings" w:hint="default"/>
      </w:rPr>
    </w:lvl>
    <w:lvl w:ilvl="1" w:tplc="4F0E2C04" w:tentative="1">
      <w:start w:val="1"/>
      <w:numFmt w:val="bullet"/>
      <w:lvlText w:val="o"/>
      <w:lvlJc w:val="left"/>
      <w:pPr>
        <w:ind w:left="1080" w:hanging="360"/>
      </w:pPr>
      <w:rPr>
        <w:rFonts w:ascii="Courier New" w:hAnsi="Courier New" w:cs="Courier New" w:hint="default"/>
      </w:rPr>
    </w:lvl>
    <w:lvl w:ilvl="2" w:tplc="FE3C0944" w:tentative="1">
      <w:start w:val="1"/>
      <w:numFmt w:val="bullet"/>
      <w:lvlText w:val=""/>
      <w:lvlJc w:val="left"/>
      <w:pPr>
        <w:ind w:left="1800" w:hanging="360"/>
      </w:pPr>
      <w:rPr>
        <w:rFonts w:ascii="Wingdings" w:hAnsi="Wingdings" w:hint="default"/>
      </w:rPr>
    </w:lvl>
    <w:lvl w:ilvl="3" w:tplc="C71E6A2A" w:tentative="1">
      <w:start w:val="1"/>
      <w:numFmt w:val="bullet"/>
      <w:lvlText w:val=""/>
      <w:lvlJc w:val="left"/>
      <w:pPr>
        <w:ind w:left="2520" w:hanging="360"/>
      </w:pPr>
      <w:rPr>
        <w:rFonts w:ascii="Symbol" w:hAnsi="Symbol" w:hint="default"/>
      </w:rPr>
    </w:lvl>
    <w:lvl w:ilvl="4" w:tplc="5B32F9D8" w:tentative="1">
      <w:start w:val="1"/>
      <w:numFmt w:val="bullet"/>
      <w:lvlText w:val="o"/>
      <w:lvlJc w:val="left"/>
      <w:pPr>
        <w:ind w:left="3240" w:hanging="360"/>
      </w:pPr>
      <w:rPr>
        <w:rFonts w:ascii="Courier New" w:hAnsi="Courier New" w:cs="Courier New" w:hint="default"/>
      </w:rPr>
    </w:lvl>
    <w:lvl w:ilvl="5" w:tplc="9154D058" w:tentative="1">
      <w:start w:val="1"/>
      <w:numFmt w:val="bullet"/>
      <w:lvlText w:val=""/>
      <w:lvlJc w:val="left"/>
      <w:pPr>
        <w:ind w:left="3960" w:hanging="360"/>
      </w:pPr>
      <w:rPr>
        <w:rFonts w:ascii="Wingdings" w:hAnsi="Wingdings" w:hint="default"/>
      </w:rPr>
    </w:lvl>
    <w:lvl w:ilvl="6" w:tplc="6C543CAC" w:tentative="1">
      <w:start w:val="1"/>
      <w:numFmt w:val="bullet"/>
      <w:lvlText w:val=""/>
      <w:lvlJc w:val="left"/>
      <w:pPr>
        <w:ind w:left="4680" w:hanging="360"/>
      </w:pPr>
      <w:rPr>
        <w:rFonts w:ascii="Symbol" w:hAnsi="Symbol" w:hint="default"/>
      </w:rPr>
    </w:lvl>
    <w:lvl w:ilvl="7" w:tplc="FC6A359C" w:tentative="1">
      <w:start w:val="1"/>
      <w:numFmt w:val="bullet"/>
      <w:lvlText w:val="o"/>
      <w:lvlJc w:val="left"/>
      <w:pPr>
        <w:ind w:left="5400" w:hanging="360"/>
      </w:pPr>
      <w:rPr>
        <w:rFonts w:ascii="Courier New" w:hAnsi="Courier New" w:cs="Courier New" w:hint="default"/>
      </w:rPr>
    </w:lvl>
    <w:lvl w:ilvl="8" w:tplc="FC0E671A" w:tentative="1">
      <w:start w:val="1"/>
      <w:numFmt w:val="bullet"/>
      <w:lvlText w:val=""/>
      <w:lvlJc w:val="left"/>
      <w:pPr>
        <w:ind w:left="6120" w:hanging="360"/>
      </w:pPr>
      <w:rPr>
        <w:rFonts w:ascii="Wingdings" w:hAnsi="Wingdings" w:hint="default"/>
      </w:rPr>
    </w:lvl>
  </w:abstractNum>
  <w:abstractNum w:abstractNumId="91">
    <w:nsid w:val="4DDC37AA"/>
    <w:multiLevelType w:val="hybridMultilevel"/>
    <w:tmpl w:val="5B74EB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E7069B6"/>
    <w:multiLevelType w:val="hybridMultilevel"/>
    <w:tmpl w:val="7CFE8C4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E7520C4"/>
    <w:multiLevelType w:val="hybridMultilevel"/>
    <w:tmpl w:val="66347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FFC4EA3"/>
    <w:multiLevelType w:val="hybridMultilevel"/>
    <w:tmpl w:val="21CC0C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1784132"/>
    <w:multiLevelType w:val="hybridMultilevel"/>
    <w:tmpl w:val="998AB9A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523C7F2B"/>
    <w:multiLevelType w:val="hybridMultilevel"/>
    <w:tmpl w:val="7B2E3B10"/>
    <w:lvl w:ilvl="0" w:tplc="04150005">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53C57CC5"/>
    <w:multiLevelType w:val="hybridMultilevel"/>
    <w:tmpl w:val="ADE81D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549B72C7"/>
    <w:multiLevelType w:val="hybridMultilevel"/>
    <w:tmpl w:val="F4F888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55FF5FA8"/>
    <w:multiLevelType w:val="hybridMultilevel"/>
    <w:tmpl w:val="D004AE70"/>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6CB78AA"/>
    <w:multiLevelType w:val="hybridMultilevel"/>
    <w:tmpl w:val="AEF43A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575A6FF1"/>
    <w:multiLevelType w:val="hybridMultilevel"/>
    <w:tmpl w:val="6A14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770263D"/>
    <w:multiLevelType w:val="hybridMultilevel"/>
    <w:tmpl w:val="574C630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57966FE8"/>
    <w:multiLevelType w:val="hybridMultilevel"/>
    <w:tmpl w:val="CC2A26A4"/>
    <w:lvl w:ilvl="0" w:tplc="04150001">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9154E2A"/>
    <w:multiLevelType w:val="hybridMultilevel"/>
    <w:tmpl w:val="CA989FD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9CD5E3A"/>
    <w:multiLevelType w:val="hybridMultilevel"/>
    <w:tmpl w:val="6F20B9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5A023AA9"/>
    <w:multiLevelType w:val="hybridMultilevel"/>
    <w:tmpl w:val="6344A850"/>
    <w:lvl w:ilvl="0" w:tplc="04150005">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5AEB4427"/>
    <w:multiLevelType w:val="hybridMultilevel"/>
    <w:tmpl w:val="AB880E52"/>
    <w:lvl w:ilvl="0" w:tplc="347CC5AA">
      <w:start w:val="1"/>
      <w:numFmt w:val="lowerLetter"/>
      <w:lvlText w:val="%1)"/>
      <w:lvlJc w:val="left"/>
      <w:pPr>
        <w:ind w:left="530" w:hanging="360"/>
      </w:pPr>
      <w:rPr>
        <w:rFonts w:hint="default"/>
        <w:b w:val="0"/>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108">
    <w:nsid w:val="5B0B794F"/>
    <w:multiLevelType w:val="hybridMultilevel"/>
    <w:tmpl w:val="50F66410"/>
    <w:lvl w:ilvl="0" w:tplc="04150005">
      <w:start w:val="1"/>
      <w:numFmt w:val="bullet"/>
      <w:lvlText w:val=""/>
      <w:lvlJc w:val="left"/>
      <w:pPr>
        <w:ind w:left="1080" w:hanging="360"/>
      </w:pPr>
      <w:rPr>
        <w:rFonts w:ascii="Wingdings" w:hAnsi="Wingdings" w:hint="default"/>
      </w:r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109">
    <w:nsid w:val="5B2F75D9"/>
    <w:multiLevelType w:val="hybridMultilevel"/>
    <w:tmpl w:val="3EE68C7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5B8B32A7"/>
    <w:multiLevelType w:val="multilevel"/>
    <w:tmpl w:val="CDC46E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5D345EBC"/>
    <w:multiLevelType w:val="hybridMultilevel"/>
    <w:tmpl w:val="20E68F5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nsid w:val="602F3FD9"/>
    <w:multiLevelType w:val="hybridMultilevel"/>
    <w:tmpl w:val="3FDE72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3DF4064"/>
    <w:multiLevelType w:val="hybridMultilevel"/>
    <w:tmpl w:val="040CA1B8"/>
    <w:lvl w:ilvl="0" w:tplc="04150005">
      <w:start w:val="1"/>
      <w:numFmt w:val="bullet"/>
      <w:lvlText w:val=""/>
      <w:lvlJc w:val="left"/>
      <w:pPr>
        <w:ind w:left="881" w:hanging="360"/>
      </w:pPr>
      <w:rPr>
        <w:rFonts w:ascii="Wingdings" w:hAnsi="Wingdings" w:hint="default"/>
      </w:rPr>
    </w:lvl>
    <w:lvl w:ilvl="1" w:tplc="04150003" w:tentative="1">
      <w:start w:val="1"/>
      <w:numFmt w:val="bullet"/>
      <w:lvlText w:val="o"/>
      <w:lvlJc w:val="left"/>
      <w:pPr>
        <w:ind w:left="1601" w:hanging="360"/>
      </w:pPr>
      <w:rPr>
        <w:rFonts w:ascii="Courier New" w:hAnsi="Courier New" w:cs="Courier New" w:hint="default"/>
      </w:rPr>
    </w:lvl>
    <w:lvl w:ilvl="2" w:tplc="04150005" w:tentative="1">
      <w:start w:val="1"/>
      <w:numFmt w:val="bullet"/>
      <w:lvlText w:val=""/>
      <w:lvlJc w:val="left"/>
      <w:pPr>
        <w:ind w:left="2321" w:hanging="360"/>
      </w:pPr>
      <w:rPr>
        <w:rFonts w:ascii="Wingdings" w:hAnsi="Wingdings" w:hint="default"/>
      </w:rPr>
    </w:lvl>
    <w:lvl w:ilvl="3" w:tplc="04150001" w:tentative="1">
      <w:start w:val="1"/>
      <w:numFmt w:val="bullet"/>
      <w:lvlText w:val=""/>
      <w:lvlJc w:val="left"/>
      <w:pPr>
        <w:ind w:left="3041" w:hanging="360"/>
      </w:pPr>
      <w:rPr>
        <w:rFonts w:ascii="Symbol" w:hAnsi="Symbol" w:hint="default"/>
      </w:rPr>
    </w:lvl>
    <w:lvl w:ilvl="4" w:tplc="04150003" w:tentative="1">
      <w:start w:val="1"/>
      <w:numFmt w:val="bullet"/>
      <w:lvlText w:val="o"/>
      <w:lvlJc w:val="left"/>
      <w:pPr>
        <w:ind w:left="3761" w:hanging="360"/>
      </w:pPr>
      <w:rPr>
        <w:rFonts w:ascii="Courier New" w:hAnsi="Courier New" w:cs="Courier New" w:hint="default"/>
      </w:rPr>
    </w:lvl>
    <w:lvl w:ilvl="5" w:tplc="04150005" w:tentative="1">
      <w:start w:val="1"/>
      <w:numFmt w:val="bullet"/>
      <w:lvlText w:val=""/>
      <w:lvlJc w:val="left"/>
      <w:pPr>
        <w:ind w:left="4481" w:hanging="360"/>
      </w:pPr>
      <w:rPr>
        <w:rFonts w:ascii="Wingdings" w:hAnsi="Wingdings" w:hint="default"/>
      </w:rPr>
    </w:lvl>
    <w:lvl w:ilvl="6" w:tplc="04150001" w:tentative="1">
      <w:start w:val="1"/>
      <w:numFmt w:val="bullet"/>
      <w:lvlText w:val=""/>
      <w:lvlJc w:val="left"/>
      <w:pPr>
        <w:ind w:left="5201" w:hanging="360"/>
      </w:pPr>
      <w:rPr>
        <w:rFonts w:ascii="Symbol" w:hAnsi="Symbol" w:hint="default"/>
      </w:rPr>
    </w:lvl>
    <w:lvl w:ilvl="7" w:tplc="04150003" w:tentative="1">
      <w:start w:val="1"/>
      <w:numFmt w:val="bullet"/>
      <w:lvlText w:val="o"/>
      <w:lvlJc w:val="left"/>
      <w:pPr>
        <w:ind w:left="5921" w:hanging="360"/>
      </w:pPr>
      <w:rPr>
        <w:rFonts w:ascii="Courier New" w:hAnsi="Courier New" w:cs="Courier New" w:hint="default"/>
      </w:rPr>
    </w:lvl>
    <w:lvl w:ilvl="8" w:tplc="04150005" w:tentative="1">
      <w:start w:val="1"/>
      <w:numFmt w:val="bullet"/>
      <w:lvlText w:val=""/>
      <w:lvlJc w:val="left"/>
      <w:pPr>
        <w:ind w:left="6641" w:hanging="360"/>
      </w:pPr>
      <w:rPr>
        <w:rFonts w:ascii="Wingdings" w:hAnsi="Wingdings" w:hint="default"/>
      </w:rPr>
    </w:lvl>
  </w:abstractNum>
  <w:abstractNum w:abstractNumId="114">
    <w:nsid w:val="642B000B"/>
    <w:multiLevelType w:val="hybridMultilevel"/>
    <w:tmpl w:val="85B6F86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nsid w:val="65111081"/>
    <w:multiLevelType w:val="multilevel"/>
    <w:tmpl w:val="B31A5F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651512DB"/>
    <w:multiLevelType w:val="hybridMultilevel"/>
    <w:tmpl w:val="3508C65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66635F9"/>
    <w:multiLevelType w:val="hybridMultilevel"/>
    <w:tmpl w:val="488A261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6699543D"/>
    <w:multiLevelType w:val="hybridMultilevel"/>
    <w:tmpl w:val="BCDCEA7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6B755EC"/>
    <w:multiLevelType w:val="hybridMultilevel"/>
    <w:tmpl w:val="2BB4E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8461F26"/>
    <w:multiLevelType w:val="hybridMultilevel"/>
    <w:tmpl w:val="551EB430"/>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97446F3"/>
    <w:multiLevelType w:val="hybridMultilevel"/>
    <w:tmpl w:val="20CEC36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69FE7270"/>
    <w:multiLevelType w:val="hybridMultilevel"/>
    <w:tmpl w:val="281E60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nsid w:val="6A395584"/>
    <w:multiLevelType w:val="hybridMultilevel"/>
    <w:tmpl w:val="E78224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6EB604BE"/>
    <w:multiLevelType w:val="hybridMultilevel"/>
    <w:tmpl w:val="1BBE9DF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nsid w:val="6F1E1C6E"/>
    <w:multiLevelType w:val="multilevel"/>
    <w:tmpl w:val="B8B8F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706C395B"/>
    <w:multiLevelType w:val="hybridMultilevel"/>
    <w:tmpl w:val="191CC40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0A83831"/>
    <w:multiLevelType w:val="hybridMultilevel"/>
    <w:tmpl w:val="D2FE12B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0AB1DDC"/>
    <w:multiLevelType w:val="hybridMultilevel"/>
    <w:tmpl w:val="5E8EE53E"/>
    <w:lvl w:ilvl="0" w:tplc="04150005">
      <w:start w:val="1"/>
      <w:numFmt w:val="bullet"/>
      <w:lvlText w:val=""/>
      <w:lvlJc w:val="left"/>
      <w:pPr>
        <w:ind w:left="3219" w:hanging="360"/>
      </w:pPr>
      <w:rPr>
        <w:rFonts w:ascii="Symbol" w:hAnsi="Symbol" w:hint="default"/>
      </w:rPr>
    </w:lvl>
    <w:lvl w:ilvl="1" w:tplc="04150003" w:tentative="1">
      <w:start w:val="1"/>
      <w:numFmt w:val="bullet"/>
      <w:lvlText w:val="o"/>
      <w:lvlJc w:val="left"/>
      <w:pPr>
        <w:ind w:left="3939" w:hanging="360"/>
      </w:pPr>
      <w:rPr>
        <w:rFonts w:ascii="Courier New" w:hAnsi="Courier New" w:cs="Courier New" w:hint="default"/>
      </w:rPr>
    </w:lvl>
    <w:lvl w:ilvl="2" w:tplc="04150005" w:tentative="1">
      <w:start w:val="1"/>
      <w:numFmt w:val="bullet"/>
      <w:lvlText w:val=""/>
      <w:lvlJc w:val="left"/>
      <w:pPr>
        <w:ind w:left="4659" w:hanging="360"/>
      </w:pPr>
      <w:rPr>
        <w:rFonts w:ascii="Wingdings" w:hAnsi="Wingdings" w:hint="default"/>
      </w:rPr>
    </w:lvl>
    <w:lvl w:ilvl="3" w:tplc="04150001" w:tentative="1">
      <w:start w:val="1"/>
      <w:numFmt w:val="bullet"/>
      <w:lvlText w:val=""/>
      <w:lvlJc w:val="left"/>
      <w:pPr>
        <w:ind w:left="5379" w:hanging="360"/>
      </w:pPr>
      <w:rPr>
        <w:rFonts w:ascii="Symbol" w:hAnsi="Symbol" w:hint="default"/>
      </w:rPr>
    </w:lvl>
    <w:lvl w:ilvl="4" w:tplc="04150003" w:tentative="1">
      <w:start w:val="1"/>
      <w:numFmt w:val="bullet"/>
      <w:lvlText w:val="o"/>
      <w:lvlJc w:val="left"/>
      <w:pPr>
        <w:ind w:left="6099" w:hanging="360"/>
      </w:pPr>
      <w:rPr>
        <w:rFonts w:ascii="Courier New" w:hAnsi="Courier New" w:cs="Courier New" w:hint="default"/>
      </w:rPr>
    </w:lvl>
    <w:lvl w:ilvl="5" w:tplc="04150005" w:tentative="1">
      <w:start w:val="1"/>
      <w:numFmt w:val="bullet"/>
      <w:lvlText w:val=""/>
      <w:lvlJc w:val="left"/>
      <w:pPr>
        <w:ind w:left="6819" w:hanging="360"/>
      </w:pPr>
      <w:rPr>
        <w:rFonts w:ascii="Wingdings" w:hAnsi="Wingdings" w:hint="default"/>
      </w:rPr>
    </w:lvl>
    <w:lvl w:ilvl="6" w:tplc="04150001" w:tentative="1">
      <w:start w:val="1"/>
      <w:numFmt w:val="bullet"/>
      <w:lvlText w:val=""/>
      <w:lvlJc w:val="left"/>
      <w:pPr>
        <w:ind w:left="7539" w:hanging="360"/>
      </w:pPr>
      <w:rPr>
        <w:rFonts w:ascii="Symbol" w:hAnsi="Symbol" w:hint="default"/>
      </w:rPr>
    </w:lvl>
    <w:lvl w:ilvl="7" w:tplc="04150003" w:tentative="1">
      <w:start w:val="1"/>
      <w:numFmt w:val="bullet"/>
      <w:lvlText w:val="o"/>
      <w:lvlJc w:val="left"/>
      <w:pPr>
        <w:ind w:left="8259" w:hanging="360"/>
      </w:pPr>
      <w:rPr>
        <w:rFonts w:ascii="Courier New" w:hAnsi="Courier New" w:cs="Courier New" w:hint="default"/>
      </w:rPr>
    </w:lvl>
    <w:lvl w:ilvl="8" w:tplc="04150005" w:tentative="1">
      <w:start w:val="1"/>
      <w:numFmt w:val="bullet"/>
      <w:lvlText w:val=""/>
      <w:lvlJc w:val="left"/>
      <w:pPr>
        <w:ind w:left="8979" w:hanging="360"/>
      </w:pPr>
      <w:rPr>
        <w:rFonts w:ascii="Wingdings" w:hAnsi="Wingdings" w:hint="default"/>
      </w:rPr>
    </w:lvl>
  </w:abstractNum>
  <w:abstractNum w:abstractNumId="129">
    <w:nsid w:val="74C173FC"/>
    <w:multiLevelType w:val="hybridMultilevel"/>
    <w:tmpl w:val="AFE8E138"/>
    <w:lvl w:ilvl="0" w:tplc="04150005">
      <w:start w:val="1"/>
      <w:numFmt w:val="bullet"/>
      <w:lvlText w:val=""/>
      <w:lvlJc w:val="left"/>
      <w:pPr>
        <w:ind w:left="758" w:hanging="360"/>
      </w:pPr>
      <w:rPr>
        <w:rFonts w:ascii="Wingdings" w:hAnsi="Wingdings"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130">
    <w:nsid w:val="75CF56F3"/>
    <w:multiLevelType w:val="hybridMultilevel"/>
    <w:tmpl w:val="D2BE8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6381B7C"/>
    <w:multiLevelType w:val="hybridMultilevel"/>
    <w:tmpl w:val="5862FB86"/>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64C2236"/>
    <w:multiLevelType w:val="hybridMultilevel"/>
    <w:tmpl w:val="A1280A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6A31B05"/>
    <w:multiLevelType w:val="hybridMultilevel"/>
    <w:tmpl w:val="6ADCE1F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nsid w:val="770F5B56"/>
    <w:multiLevelType w:val="multilevel"/>
    <w:tmpl w:val="B41870A4"/>
    <w:lvl w:ilvl="0">
      <w:start w:val="1"/>
      <w:numFmt w:val="decimal"/>
      <w:pStyle w:val="S1"/>
      <w:lvlText w:val="%1."/>
      <w:lvlJc w:val="left"/>
      <w:pPr>
        <w:ind w:left="360" w:hanging="360"/>
      </w:pPr>
      <w:rPr>
        <w:rFonts w:hint="default"/>
      </w:rPr>
    </w:lvl>
    <w:lvl w:ilvl="1">
      <w:start w:val="1"/>
      <w:numFmt w:val="decimal"/>
      <w:isLgl/>
      <w:lvlText w:val="%1.%2."/>
      <w:lvlJc w:val="left"/>
      <w:pPr>
        <w:ind w:left="720" w:hanging="720"/>
      </w:pPr>
      <w:rPr>
        <w:rFonts w:hint="default"/>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5">
    <w:nsid w:val="773B7496"/>
    <w:multiLevelType w:val="hybridMultilevel"/>
    <w:tmpl w:val="FDC05254"/>
    <w:lvl w:ilvl="0" w:tplc="2B0CB548">
      <w:start w:val="1"/>
      <w:numFmt w:val="bullet"/>
      <w:lvlText w:val=""/>
      <w:lvlJc w:val="left"/>
      <w:pPr>
        <w:ind w:left="720" w:hanging="360"/>
      </w:pPr>
      <w:rPr>
        <w:rFonts w:ascii="Symbol" w:hAnsi="Symbol" w:hint="default"/>
      </w:rPr>
    </w:lvl>
    <w:lvl w:ilvl="1" w:tplc="FAA2E63A">
      <w:numFmt w:val="bullet"/>
      <w:lvlText w:val="•"/>
      <w:lvlJc w:val="left"/>
      <w:pPr>
        <w:ind w:left="1440" w:hanging="360"/>
      </w:pPr>
      <w:rPr>
        <w:rFonts w:ascii="Garamond" w:eastAsiaTheme="minorHAnsi" w:hAnsi="Garamond" w:cs="Arial" w:hint="default"/>
      </w:rPr>
    </w:lvl>
    <w:lvl w:ilvl="2" w:tplc="F1D89D2C" w:tentative="1">
      <w:start w:val="1"/>
      <w:numFmt w:val="bullet"/>
      <w:lvlText w:val=""/>
      <w:lvlJc w:val="left"/>
      <w:pPr>
        <w:ind w:left="2160" w:hanging="360"/>
      </w:pPr>
      <w:rPr>
        <w:rFonts w:ascii="Wingdings" w:hAnsi="Wingdings" w:hint="default"/>
      </w:rPr>
    </w:lvl>
    <w:lvl w:ilvl="3" w:tplc="2F4272B6" w:tentative="1">
      <w:start w:val="1"/>
      <w:numFmt w:val="bullet"/>
      <w:lvlText w:val=""/>
      <w:lvlJc w:val="left"/>
      <w:pPr>
        <w:ind w:left="2880" w:hanging="360"/>
      </w:pPr>
      <w:rPr>
        <w:rFonts w:ascii="Symbol" w:hAnsi="Symbol" w:hint="default"/>
      </w:rPr>
    </w:lvl>
    <w:lvl w:ilvl="4" w:tplc="434AF834" w:tentative="1">
      <w:start w:val="1"/>
      <w:numFmt w:val="bullet"/>
      <w:lvlText w:val="o"/>
      <w:lvlJc w:val="left"/>
      <w:pPr>
        <w:ind w:left="3600" w:hanging="360"/>
      </w:pPr>
      <w:rPr>
        <w:rFonts w:ascii="Courier New" w:hAnsi="Courier New" w:cs="Courier New" w:hint="default"/>
      </w:rPr>
    </w:lvl>
    <w:lvl w:ilvl="5" w:tplc="87288EA8" w:tentative="1">
      <w:start w:val="1"/>
      <w:numFmt w:val="bullet"/>
      <w:lvlText w:val=""/>
      <w:lvlJc w:val="left"/>
      <w:pPr>
        <w:ind w:left="4320" w:hanging="360"/>
      </w:pPr>
      <w:rPr>
        <w:rFonts w:ascii="Wingdings" w:hAnsi="Wingdings" w:hint="default"/>
      </w:rPr>
    </w:lvl>
    <w:lvl w:ilvl="6" w:tplc="387662FC" w:tentative="1">
      <w:start w:val="1"/>
      <w:numFmt w:val="bullet"/>
      <w:lvlText w:val=""/>
      <w:lvlJc w:val="left"/>
      <w:pPr>
        <w:ind w:left="5040" w:hanging="360"/>
      </w:pPr>
      <w:rPr>
        <w:rFonts w:ascii="Symbol" w:hAnsi="Symbol" w:hint="default"/>
      </w:rPr>
    </w:lvl>
    <w:lvl w:ilvl="7" w:tplc="F0D243EE" w:tentative="1">
      <w:start w:val="1"/>
      <w:numFmt w:val="bullet"/>
      <w:lvlText w:val="o"/>
      <w:lvlJc w:val="left"/>
      <w:pPr>
        <w:ind w:left="5760" w:hanging="360"/>
      </w:pPr>
      <w:rPr>
        <w:rFonts w:ascii="Courier New" w:hAnsi="Courier New" w:cs="Courier New" w:hint="default"/>
      </w:rPr>
    </w:lvl>
    <w:lvl w:ilvl="8" w:tplc="96303036" w:tentative="1">
      <w:start w:val="1"/>
      <w:numFmt w:val="bullet"/>
      <w:lvlText w:val=""/>
      <w:lvlJc w:val="left"/>
      <w:pPr>
        <w:ind w:left="6480" w:hanging="360"/>
      </w:pPr>
      <w:rPr>
        <w:rFonts w:ascii="Wingdings" w:hAnsi="Wingdings" w:hint="default"/>
      </w:rPr>
    </w:lvl>
  </w:abstractNum>
  <w:abstractNum w:abstractNumId="136">
    <w:nsid w:val="79A87903"/>
    <w:multiLevelType w:val="hybridMultilevel"/>
    <w:tmpl w:val="7E5024B4"/>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A0F6D12"/>
    <w:multiLevelType w:val="hybridMultilevel"/>
    <w:tmpl w:val="58287BF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A3E6A60"/>
    <w:multiLevelType w:val="hybridMultilevel"/>
    <w:tmpl w:val="7E480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ABA0E00"/>
    <w:multiLevelType w:val="hybridMultilevel"/>
    <w:tmpl w:val="A3764E8A"/>
    <w:lvl w:ilvl="0" w:tplc="CA42D730">
      <w:start w:val="1"/>
      <w:numFmt w:val="bullet"/>
      <w:lvlText w:val=""/>
      <w:lvlJc w:val="left"/>
      <w:pPr>
        <w:ind w:left="360" w:hanging="360"/>
      </w:pPr>
      <w:rPr>
        <w:rFonts w:ascii="Wingdings" w:hAnsi="Wingdings" w:hint="default"/>
      </w:rPr>
    </w:lvl>
    <w:lvl w:ilvl="1" w:tplc="EDBA8672" w:tentative="1">
      <w:start w:val="1"/>
      <w:numFmt w:val="bullet"/>
      <w:lvlText w:val="o"/>
      <w:lvlJc w:val="left"/>
      <w:pPr>
        <w:ind w:left="1080" w:hanging="360"/>
      </w:pPr>
      <w:rPr>
        <w:rFonts w:ascii="Courier New" w:hAnsi="Courier New" w:cs="Courier New" w:hint="default"/>
      </w:rPr>
    </w:lvl>
    <w:lvl w:ilvl="2" w:tplc="4E86F87E" w:tentative="1">
      <w:start w:val="1"/>
      <w:numFmt w:val="bullet"/>
      <w:lvlText w:val=""/>
      <w:lvlJc w:val="left"/>
      <w:pPr>
        <w:ind w:left="1800" w:hanging="360"/>
      </w:pPr>
      <w:rPr>
        <w:rFonts w:ascii="Wingdings" w:hAnsi="Wingdings" w:hint="default"/>
      </w:rPr>
    </w:lvl>
    <w:lvl w:ilvl="3" w:tplc="A970C3F8" w:tentative="1">
      <w:start w:val="1"/>
      <w:numFmt w:val="bullet"/>
      <w:lvlText w:val=""/>
      <w:lvlJc w:val="left"/>
      <w:pPr>
        <w:ind w:left="2520" w:hanging="360"/>
      </w:pPr>
      <w:rPr>
        <w:rFonts w:ascii="Symbol" w:hAnsi="Symbol" w:hint="default"/>
      </w:rPr>
    </w:lvl>
    <w:lvl w:ilvl="4" w:tplc="9432EE96" w:tentative="1">
      <w:start w:val="1"/>
      <w:numFmt w:val="bullet"/>
      <w:lvlText w:val="o"/>
      <w:lvlJc w:val="left"/>
      <w:pPr>
        <w:ind w:left="3240" w:hanging="360"/>
      </w:pPr>
      <w:rPr>
        <w:rFonts w:ascii="Courier New" w:hAnsi="Courier New" w:cs="Courier New" w:hint="default"/>
      </w:rPr>
    </w:lvl>
    <w:lvl w:ilvl="5" w:tplc="79484616" w:tentative="1">
      <w:start w:val="1"/>
      <w:numFmt w:val="bullet"/>
      <w:lvlText w:val=""/>
      <w:lvlJc w:val="left"/>
      <w:pPr>
        <w:ind w:left="3960" w:hanging="360"/>
      </w:pPr>
      <w:rPr>
        <w:rFonts w:ascii="Wingdings" w:hAnsi="Wingdings" w:hint="default"/>
      </w:rPr>
    </w:lvl>
    <w:lvl w:ilvl="6" w:tplc="3BB625D8" w:tentative="1">
      <w:start w:val="1"/>
      <w:numFmt w:val="bullet"/>
      <w:lvlText w:val=""/>
      <w:lvlJc w:val="left"/>
      <w:pPr>
        <w:ind w:left="4680" w:hanging="360"/>
      </w:pPr>
      <w:rPr>
        <w:rFonts w:ascii="Symbol" w:hAnsi="Symbol" w:hint="default"/>
      </w:rPr>
    </w:lvl>
    <w:lvl w:ilvl="7" w:tplc="531495EE" w:tentative="1">
      <w:start w:val="1"/>
      <w:numFmt w:val="bullet"/>
      <w:lvlText w:val="o"/>
      <w:lvlJc w:val="left"/>
      <w:pPr>
        <w:ind w:left="5400" w:hanging="360"/>
      </w:pPr>
      <w:rPr>
        <w:rFonts w:ascii="Courier New" w:hAnsi="Courier New" w:cs="Courier New" w:hint="default"/>
      </w:rPr>
    </w:lvl>
    <w:lvl w:ilvl="8" w:tplc="5570339A" w:tentative="1">
      <w:start w:val="1"/>
      <w:numFmt w:val="bullet"/>
      <w:lvlText w:val=""/>
      <w:lvlJc w:val="left"/>
      <w:pPr>
        <w:ind w:left="6120" w:hanging="360"/>
      </w:pPr>
      <w:rPr>
        <w:rFonts w:ascii="Wingdings" w:hAnsi="Wingdings" w:hint="default"/>
      </w:rPr>
    </w:lvl>
  </w:abstractNum>
  <w:abstractNum w:abstractNumId="140">
    <w:nsid w:val="7ADC183E"/>
    <w:multiLevelType w:val="hybridMultilevel"/>
    <w:tmpl w:val="9B64C5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7B2A47C8"/>
    <w:multiLevelType w:val="hybridMultilevel"/>
    <w:tmpl w:val="11146D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C3713DF"/>
    <w:multiLevelType w:val="hybridMultilevel"/>
    <w:tmpl w:val="0D247EC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7CCD16FD"/>
    <w:multiLevelType w:val="hybridMultilevel"/>
    <w:tmpl w:val="1F9E4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F121987"/>
    <w:multiLevelType w:val="hybridMultilevel"/>
    <w:tmpl w:val="FDA2DC7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F360F2D"/>
    <w:multiLevelType w:val="hybridMultilevel"/>
    <w:tmpl w:val="CC743D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16"/>
  </w:num>
  <w:num w:numId="2">
    <w:abstractNumId w:val="118"/>
  </w:num>
  <w:num w:numId="3">
    <w:abstractNumId w:val="39"/>
  </w:num>
  <w:num w:numId="4">
    <w:abstractNumId w:val="126"/>
  </w:num>
  <w:num w:numId="5">
    <w:abstractNumId w:val="85"/>
  </w:num>
  <w:num w:numId="6">
    <w:abstractNumId w:val="101"/>
  </w:num>
  <w:num w:numId="7">
    <w:abstractNumId w:val="104"/>
  </w:num>
  <w:num w:numId="8">
    <w:abstractNumId w:val="64"/>
  </w:num>
  <w:num w:numId="9">
    <w:abstractNumId w:val="135"/>
  </w:num>
  <w:num w:numId="10">
    <w:abstractNumId w:val="10"/>
  </w:num>
  <w:num w:numId="11">
    <w:abstractNumId w:val="56"/>
  </w:num>
  <w:num w:numId="12">
    <w:abstractNumId w:val="136"/>
  </w:num>
  <w:num w:numId="13">
    <w:abstractNumId w:val="134"/>
  </w:num>
  <w:num w:numId="14">
    <w:abstractNumId w:val="128"/>
  </w:num>
  <w:num w:numId="15">
    <w:abstractNumId w:val="54"/>
  </w:num>
  <w:num w:numId="16">
    <w:abstractNumId w:val="17"/>
  </w:num>
  <w:num w:numId="17">
    <w:abstractNumId w:val="83"/>
  </w:num>
  <w:num w:numId="18">
    <w:abstractNumId w:val="38"/>
  </w:num>
  <w:num w:numId="19">
    <w:abstractNumId w:val="119"/>
  </w:num>
  <w:num w:numId="20">
    <w:abstractNumId w:val="103"/>
  </w:num>
  <w:num w:numId="21">
    <w:abstractNumId w:val="63"/>
  </w:num>
  <w:num w:numId="22">
    <w:abstractNumId w:val="16"/>
  </w:num>
  <w:num w:numId="23">
    <w:abstractNumId w:val="127"/>
  </w:num>
  <w:num w:numId="24">
    <w:abstractNumId w:val="8"/>
  </w:num>
  <w:num w:numId="25">
    <w:abstractNumId w:val="14"/>
  </w:num>
  <w:num w:numId="26">
    <w:abstractNumId w:val="74"/>
  </w:num>
  <w:num w:numId="27">
    <w:abstractNumId w:val="1"/>
  </w:num>
  <w:num w:numId="28">
    <w:abstractNumId w:val="125"/>
  </w:num>
  <w:num w:numId="29">
    <w:abstractNumId w:val="40"/>
  </w:num>
  <w:num w:numId="30">
    <w:abstractNumId w:val="7"/>
  </w:num>
  <w:num w:numId="31">
    <w:abstractNumId w:val="28"/>
  </w:num>
  <w:num w:numId="32">
    <w:abstractNumId w:val="89"/>
  </w:num>
  <w:num w:numId="33">
    <w:abstractNumId w:val="90"/>
  </w:num>
  <w:num w:numId="34">
    <w:abstractNumId w:val="84"/>
  </w:num>
  <w:num w:numId="35">
    <w:abstractNumId w:val="75"/>
  </w:num>
  <w:num w:numId="36">
    <w:abstractNumId w:val="87"/>
  </w:num>
  <w:num w:numId="37">
    <w:abstractNumId w:val="67"/>
  </w:num>
  <w:num w:numId="38">
    <w:abstractNumId w:val="12"/>
  </w:num>
  <w:num w:numId="39">
    <w:abstractNumId w:val="58"/>
  </w:num>
  <w:num w:numId="40">
    <w:abstractNumId w:val="88"/>
  </w:num>
  <w:num w:numId="41">
    <w:abstractNumId w:val="69"/>
  </w:num>
  <w:num w:numId="42">
    <w:abstractNumId w:val="124"/>
  </w:num>
  <w:num w:numId="43">
    <w:abstractNumId w:val="72"/>
  </w:num>
  <w:num w:numId="44">
    <w:abstractNumId w:val="30"/>
  </w:num>
  <w:num w:numId="45">
    <w:abstractNumId w:val="24"/>
  </w:num>
  <w:num w:numId="46">
    <w:abstractNumId w:val="48"/>
  </w:num>
  <w:num w:numId="47">
    <w:abstractNumId w:val="95"/>
  </w:num>
  <w:num w:numId="48">
    <w:abstractNumId w:val="19"/>
  </w:num>
  <w:num w:numId="49">
    <w:abstractNumId w:val="25"/>
  </w:num>
  <w:num w:numId="50">
    <w:abstractNumId w:val="112"/>
  </w:num>
  <w:num w:numId="51">
    <w:abstractNumId w:val="117"/>
  </w:num>
  <w:num w:numId="52">
    <w:abstractNumId w:val="41"/>
  </w:num>
  <w:num w:numId="53">
    <w:abstractNumId w:val="71"/>
  </w:num>
  <w:num w:numId="54">
    <w:abstractNumId w:val="131"/>
  </w:num>
  <w:num w:numId="55">
    <w:abstractNumId w:val="130"/>
  </w:num>
  <w:num w:numId="56">
    <w:abstractNumId w:val="31"/>
  </w:num>
  <w:num w:numId="57">
    <w:abstractNumId w:val="108"/>
  </w:num>
  <w:num w:numId="58">
    <w:abstractNumId w:val="99"/>
  </w:num>
  <w:num w:numId="59">
    <w:abstractNumId w:val="33"/>
  </w:num>
  <w:num w:numId="60">
    <w:abstractNumId w:val="140"/>
  </w:num>
  <w:num w:numId="61">
    <w:abstractNumId w:val="68"/>
  </w:num>
  <w:num w:numId="62">
    <w:abstractNumId w:val="22"/>
  </w:num>
  <w:num w:numId="63">
    <w:abstractNumId w:val="82"/>
  </w:num>
  <w:num w:numId="64">
    <w:abstractNumId w:val="3"/>
  </w:num>
  <w:num w:numId="65">
    <w:abstractNumId w:val="70"/>
  </w:num>
  <w:num w:numId="66">
    <w:abstractNumId w:val="109"/>
  </w:num>
  <w:num w:numId="67">
    <w:abstractNumId w:val="139"/>
  </w:num>
  <w:num w:numId="68">
    <w:abstractNumId w:val="26"/>
  </w:num>
  <w:num w:numId="69">
    <w:abstractNumId w:val="123"/>
  </w:num>
  <w:num w:numId="70">
    <w:abstractNumId w:val="45"/>
  </w:num>
  <w:num w:numId="71">
    <w:abstractNumId w:val="59"/>
  </w:num>
  <w:num w:numId="72">
    <w:abstractNumId w:val="9"/>
  </w:num>
  <w:num w:numId="73">
    <w:abstractNumId w:val="42"/>
  </w:num>
  <w:num w:numId="74">
    <w:abstractNumId w:val="96"/>
  </w:num>
  <w:num w:numId="75">
    <w:abstractNumId w:val="121"/>
  </w:num>
  <w:num w:numId="76">
    <w:abstractNumId w:val="132"/>
  </w:num>
  <w:num w:numId="77">
    <w:abstractNumId w:val="120"/>
  </w:num>
  <w:num w:numId="78">
    <w:abstractNumId w:val="44"/>
  </w:num>
  <w:num w:numId="79">
    <w:abstractNumId w:val="55"/>
  </w:num>
  <w:num w:numId="80">
    <w:abstractNumId w:val="80"/>
  </w:num>
  <w:num w:numId="81">
    <w:abstractNumId w:val="98"/>
  </w:num>
  <w:num w:numId="82">
    <w:abstractNumId w:val="93"/>
  </w:num>
  <w:num w:numId="83">
    <w:abstractNumId w:val="106"/>
  </w:num>
  <w:num w:numId="84">
    <w:abstractNumId w:val="97"/>
  </w:num>
  <w:num w:numId="85">
    <w:abstractNumId w:val="144"/>
  </w:num>
  <w:num w:numId="86">
    <w:abstractNumId w:val="21"/>
  </w:num>
  <w:num w:numId="87">
    <w:abstractNumId w:val="61"/>
  </w:num>
  <w:num w:numId="88">
    <w:abstractNumId w:val="86"/>
  </w:num>
  <w:num w:numId="89">
    <w:abstractNumId w:val="18"/>
  </w:num>
  <w:num w:numId="90">
    <w:abstractNumId w:val="79"/>
  </w:num>
  <w:num w:numId="91">
    <w:abstractNumId w:val="138"/>
  </w:num>
  <w:num w:numId="92">
    <w:abstractNumId w:val="141"/>
  </w:num>
  <w:num w:numId="93">
    <w:abstractNumId w:val="60"/>
  </w:num>
  <w:num w:numId="94">
    <w:abstractNumId w:val="52"/>
  </w:num>
  <w:num w:numId="95">
    <w:abstractNumId w:val="50"/>
  </w:num>
  <w:num w:numId="96">
    <w:abstractNumId w:val="91"/>
  </w:num>
  <w:num w:numId="97">
    <w:abstractNumId w:val="23"/>
  </w:num>
  <w:num w:numId="98">
    <w:abstractNumId w:val="57"/>
  </w:num>
  <w:num w:numId="99">
    <w:abstractNumId w:val="111"/>
  </w:num>
  <w:num w:numId="100">
    <w:abstractNumId w:val="11"/>
  </w:num>
  <w:num w:numId="101">
    <w:abstractNumId w:val="143"/>
  </w:num>
  <w:num w:numId="102">
    <w:abstractNumId w:val="133"/>
  </w:num>
  <w:num w:numId="103">
    <w:abstractNumId w:val="34"/>
  </w:num>
  <w:num w:numId="104">
    <w:abstractNumId w:val="145"/>
  </w:num>
  <w:num w:numId="105">
    <w:abstractNumId w:val="78"/>
  </w:num>
  <w:num w:numId="106">
    <w:abstractNumId w:val="142"/>
  </w:num>
  <w:num w:numId="107">
    <w:abstractNumId w:val="13"/>
  </w:num>
  <w:num w:numId="108">
    <w:abstractNumId w:val="29"/>
  </w:num>
  <w:num w:numId="109">
    <w:abstractNumId w:val="100"/>
  </w:num>
  <w:num w:numId="110">
    <w:abstractNumId w:val="35"/>
  </w:num>
  <w:num w:numId="111">
    <w:abstractNumId w:val="49"/>
  </w:num>
  <w:num w:numId="112">
    <w:abstractNumId w:val="2"/>
  </w:num>
  <w:num w:numId="113">
    <w:abstractNumId w:val="77"/>
  </w:num>
  <w:num w:numId="114">
    <w:abstractNumId w:val="66"/>
  </w:num>
  <w:num w:numId="115">
    <w:abstractNumId w:val="20"/>
  </w:num>
  <w:num w:numId="116">
    <w:abstractNumId w:val="122"/>
  </w:num>
  <w:num w:numId="117">
    <w:abstractNumId w:val="6"/>
  </w:num>
  <w:num w:numId="118">
    <w:abstractNumId w:val="73"/>
  </w:num>
  <w:num w:numId="119">
    <w:abstractNumId w:val="102"/>
  </w:num>
  <w:num w:numId="120">
    <w:abstractNumId w:val="65"/>
  </w:num>
  <w:num w:numId="121">
    <w:abstractNumId w:val="36"/>
  </w:num>
  <w:num w:numId="122">
    <w:abstractNumId w:val="47"/>
  </w:num>
  <w:num w:numId="123">
    <w:abstractNumId w:val="37"/>
  </w:num>
  <w:num w:numId="124">
    <w:abstractNumId w:val="92"/>
  </w:num>
  <w:num w:numId="125">
    <w:abstractNumId w:val="27"/>
  </w:num>
  <w:num w:numId="126">
    <w:abstractNumId w:val="62"/>
  </w:num>
  <w:num w:numId="127">
    <w:abstractNumId w:val="15"/>
  </w:num>
  <w:num w:numId="128">
    <w:abstractNumId w:val="114"/>
  </w:num>
  <w:num w:numId="129">
    <w:abstractNumId w:val="137"/>
  </w:num>
  <w:num w:numId="130">
    <w:abstractNumId w:val="51"/>
  </w:num>
  <w:num w:numId="131">
    <w:abstractNumId w:val="0"/>
  </w:num>
  <w:num w:numId="132">
    <w:abstractNumId w:val="110"/>
  </w:num>
  <w:num w:numId="133">
    <w:abstractNumId w:val="115"/>
  </w:num>
  <w:num w:numId="134">
    <w:abstractNumId w:val="43"/>
  </w:num>
  <w:num w:numId="135">
    <w:abstractNumId w:val="4"/>
  </w:num>
  <w:num w:numId="136">
    <w:abstractNumId w:val="32"/>
  </w:num>
  <w:num w:numId="137">
    <w:abstractNumId w:val="129"/>
  </w:num>
  <w:num w:numId="138">
    <w:abstractNumId w:val="5"/>
  </w:num>
  <w:num w:numId="139">
    <w:abstractNumId w:val="94"/>
  </w:num>
  <w:num w:numId="140">
    <w:abstractNumId w:val="113"/>
  </w:num>
  <w:num w:numId="141">
    <w:abstractNumId w:val="105"/>
  </w:num>
  <w:num w:numId="142">
    <w:abstractNumId w:val="53"/>
  </w:num>
  <w:num w:numId="143">
    <w:abstractNumId w:val="76"/>
  </w:num>
  <w:num w:numId="144">
    <w:abstractNumId w:val="107"/>
  </w:num>
  <w:num w:numId="145">
    <w:abstractNumId w:val="81"/>
  </w:num>
  <w:num w:numId="146">
    <w:abstractNumId w:val="4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C3E"/>
    <w:rsid w:val="00010320"/>
    <w:rsid w:val="00012866"/>
    <w:rsid w:val="00021742"/>
    <w:rsid w:val="00022C6D"/>
    <w:rsid w:val="00025116"/>
    <w:rsid w:val="000326FF"/>
    <w:rsid w:val="00033754"/>
    <w:rsid w:val="0004249A"/>
    <w:rsid w:val="00045BA6"/>
    <w:rsid w:val="00052A31"/>
    <w:rsid w:val="00053A68"/>
    <w:rsid w:val="00062C72"/>
    <w:rsid w:val="0007415F"/>
    <w:rsid w:val="000810DC"/>
    <w:rsid w:val="00081F2B"/>
    <w:rsid w:val="000977AC"/>
    <w:rsid w:val="000A2BB1"/>
    <w:rsid w:val="000B6236"/>
    <w:rsid w:val="000C4820"/>
    <w:rsid w:val="000C5074"/>
    <w:rsid w:val="000D7A28"/>
    <w:rsid w:val="000E1227"/>
    <w:rsid w:val="000E66AA"/>
    <w:rsid w:val="000F2F15"/>
    <w:rsid w:val="000F30C8"/>
    <w:rsid w:val="000F42D0"/>
    <w:rsid w:val="00147F41"/>
    <w:rsid w:val="001A73E7"/>
    <w:rsid w:val="001B2EA5"/>
    <w:rsid w:val="001B3944"/>
    <w:rsid w:val="001C3A62"/>
    <w:rsid w:val="001C63AE"/>
    <w:rsid w:val="001D1010"/>
    <w:rsid w:val="001E2FE5"/>
    <w:rsid w:val="001F4592"/>
    <w:rsid w:val="00205008"/>
    <w:rsid w:val="00212FE3"/>
    <w:rsid w:val="00213116"/>
    <w:rsid w:val="00222EF1"/>
    <w:rsid w:val="00243421"/>
    <w:rsid w:val="00245CCC"/>
    <w:rsid w:val="002549F7"/>
    <w:rsid w:val="00256FF0"/>
    <w:rsid w:val="00267556"/>
    <w:rsid w:val="00273B49"/>
    <w:rsid w:val="00277849"/>
    <w:rsid w:val="00283AB0"/>
    <w:rsid w:val="0028656C"/>
    <w:rsid w:val="002950D6"/>
    <w:rsid w:val="002A5B00"/>
    <w:rsid w:val="002A5C94"/>
    <w:rsid w:val="002B4AE7"/>
    <w:rsid w:val="002C784D"/>
    <w:rsid w:val="002D39EB"/>
    <w:rsid w:val="002D6998"/>
    <w:rsid w:val="00312F5E"/>
    <w:rsid w:val="0031428D"/>
    <w:rsid w:val="00316A42"/>
    <w:rsid w:val="00321284"/>
    <w:rsid w:val="00324C7B"/>
    <w:rsid w:val="00327EC3"/>
    <w:rsid w:val="003330B1"/>
    <w:rsid w:val="00335582"/>
    <w:rsid w:val="003436D0"/>
    <w:rsid w:val="00347CAF"/>
    <w:rsid w:val="00350FA8"/>
    <w:rsid w:val="003640F7"/>
    <w:rsid w:val="00365EC4"/>
    <w:rsid w:val="00373B5C"/>
    <w:rsid w:val="0038084D"/>
    <w:rsid w:val="00381C8C"/>
    <w:rsid w:val="003911E2"/>
    <w:rsid w:val="003A205D"/>
    <w:rsid w:val="003B53CD"/>
    <w:rsid w:val="003C5CA3"/>
    <w:rsid w:val="003D0D04"/>
    <w:rsid w:val="003D70E0"/>
    <w:rsid w:val="003E4AD1"/>
    <w:rsid w:val="003E4E1D"/>
    <w:rsid w:val="00406795"/>
    <w:rsid w:val="00414EBC"/>
    <w:rsid w:val="00421E0E"/>
    <w:rsid w:val="00426113"/>
    <w:rsid w:val="00426B15"/>
    <w:rsid w:val="00431972"/>
    <w:rsid w:val="00431D39"/>
    <w:rsid w:val="0044381F"/>
    <w:rsid w:val="00444BEE"/>
    <w:rsid w:val="00481EE1"/>
    <w:rsid w:val="004929DF"/>
    <w:rsid w:val="00492F4D"/>
    <w:rsid w:val="00497BB1"/>
    <w:rsid w:val="00500570"/>
    <w:rsid w:val="00500A77"/>
    <w:rsid w:val="005124AB"/>
    <w:rsid w:val="00515132"/>
    <w:rsid w:val="00541731"/>
    <w:rsid w:val="00552BFE"/>
    <w:rsid w:val="005626B6"/>
    <w:rsid w:val="00564EC7"/>
    <w:rsid w:val="005668CE"/>
    <w:rsid w:val="00567C3E"/>
    <w:rsid w:val="00576902"/>
    <w:rsid w:val="005777F8"/>
    <w:rsid w:val="00584383"/>
    <w:rsid w:val="00586006"/>
    <w:rsid w:val="0059764D"/>
    <w:rsid w:val="005A60A6"/>
    <w:rsid w:val="005C56EE"/>
    <w:rsid w:val="005D78D7"/>
    <w:rsid w:val="005E7FAD"/>
    <w:rsid w:val="005F0BE6"/>
    <w:rsid w:val="005F2223"/>
    <w:rsid w:val="005F65B2"/>
    <w:rsid w:val="005F7BA6"/>
    <w:rsid w:val="0060300E"/>
    <w:rsid w:val="00610590"/>
    <w:rsid w:val="00617C43"/>
    <w:rsid w:val="0062423D"/>
    <w:rsid w:val="00636BDE"/>
    <w:rsid w:val="00636F72"/>
    <w:rsid w:val="006372A6"/>
    <w:rsid w:val="00651B86"/>
    <w:rsid w:val="00673A0F"/>
    <w:rsid w:val="00683126"/>
    <w:rsid w:val="00692A74"/>
    <w:rsid w:val="00694309"/>
    <w:rsid w:val="006B3714"/>
    <w:rsid w:val="006B5C48"/>
    <w:rsid w:val="006C0719"/>
    <w:rsid w:val="006D02C5"/>
    <w:rsid w:val="006D6F25"/>
    <w:rsid w:val="006F0A3C"/>
    <w:rsid w:val="006F0AAB"/>
    <w:rsid w:val="00706A1D"/>
    <w:rsid w:val="007077A8"/>
    <w:rsid w:val="00712433"/>
    <w:rsid w:val="00723078"/>
    <w:rsid w:val="00735542"/>
    <w:rsid w:val="00736D38"/>
    <w:rsid w:val="0075356A"/>
    <w:rsid w:val="00754042"/>
    <w:rsid w:val="0075489A"/>
    <w:rsid w:val="0075604C"/>
    <w:rsid w:val="00757A57"/>
    <w:rsid w:val="00780142"/>
    <w:rsid w:val="00794EFA"/>
    <w:rsid w:val="007A5CA2"/>
    <w:rsid w:val="007C59A0"/>
    <w:rsid w:val="007C60EA"/>
    <w:rsid w:val="007C6C50"/>
    <w:rsid w:val="00800922"/>
    <w:rsid w:val="0080658D"/>
    <w:rsid w:val="00816534"/>
    <w:rsid w:val="00831C05"/>
    <w:rsid w:val="00847278"/>
    <w:rsid w:val="00860816"/>
    <w:rsid w:val="00866D51"/>
    <w:rsid w:val="0087186D"/>
    <w:rsid w:val="00877AB2"/>
    <w:rsid w:val="008806F2"/>
    <w:rsid w:val="00881C78"/>
    <w:rsid w:val="008820B1"/>
    <w:rsid w:val="00886644"/>
    <w:rsid w:val="00890A60"/>
    <w:rsid w:val="0089312C"/>
    <w:rsid w:val="00896514"/>
    <w:rsid w:val="008A703C"/>
    <w:rsid w:val="008C39BA"/>
    <w:rsid w:val="008D0DD6"/>
    <w:rsid w:val="008D3751"/>
    <w:rsid w:val="008F4878"/>
    <w:rsid w:val="00902391"/>
    <w:rsid w:val="00910C6F"/>
    <w:rsid w:val="0091486A"/>
    <w:rsid w:val="009202BE"/>
    <w:rsid w:val="00922D47"/>
    <w:rsid w:val="009235EC"/>
    <w:rsid w:val="009237AC"/>
    <w:rsid w:val="00927764"/>
    <w:rsid w:val="00961013"/>
    <w:rsid w:val="0096641B"/>
    <w:rsid w:val="0097763C"/>
    <w:rsid w:val="009825AA"/>
    <w:rsid w:val="00992F39"/>
    <w:rsid w:val="009A4DA9"/>
    <w:rsid w:val="009B0428"/>
    <w:rsid w:val="009C0B93"/>
    <w:rsid w:val="009D10BC"/>
    <w:rsid w:val="009D49FB"/>
    <w:rsid w:val="009F5AE5"/>
    <w:rsid w:val="00A2323F"/>
    <w:rsid w:val="00A23558"/>
    <w:rsid w:val="00A30D20"/>
    <w:rsid w:val="00A522A1"/>
    <w:rsid w:val="00A5356B"/>
    <w:rsid w:val="00A643C5"/>
    <w:rsid w:val="00A737EC"/>
    <w:rsid w:val="00A92FCD"/>
    <w:rsid w:val="00A94730"/>
    <w:rsid w:val="00AA092C"/>
    <w:rsid w:val="00AA3E7F"/>
    <w:rsid w:val="00AA6F34"/>
    <w:rsid w:val="00AB609F"/>
    <w:rsid w:val="00AB627E"/>
    <w:rsid w:val="00AB7614"/>
    <w:rsid w:val="00AC0592"/>
    <w:rsid w:val="00AD0FD0"/>
    <w:rsid w:val="00AE7C08"/>
    <w:rsid w:val="00B02492"/>
    <w:rsid w:val="00B159F4"/>
    <w:rsid w:val="00B33A85"/>
    <w:rsid w:val="00B364B1"/>
    <w:rsid w:val="00B60A5D"/>
    <w:rsid w:val="00B60F98"/>
    <w:rsid w:val="00B6500E"/>
    <w:rsid w:val="00B709EA"/>
    <w:rsid w:val="00B7399A"/>
    <w:rsid w:val="00B80A6F"/>
    <w:rsid w:val="00B81114"/>
    <w:rsid w:val="00B93D6F"/>
    <w:rsid w:val="00BA4439"/>
    <w:rsid w:val="00BB2B21"/>
    <w:rsid w:val="00BB78D3"/>
    <w:rsid w:val="00BD2E3E"/>
    <w:rsid w:val="00BE4B70"/>
    <w:rsid w:val="00BF7FEE"/>
    <w:rsid w:val="00C1503A"/>
    <w:rsid w:val="00C17994"/>
    <w:rsid w:val="00C2670F"/>
    <w:rsid w:val="00C2710B"/>
    <w:rsid w:val="00C32B95"/>
    <w:rsid w:val="00C332A1"/>
    <w:rsid w:val="00C53CE2"/>
    <w:rsid w:val="00C60D04"/>
    <w:rsid w:val="00C613D1"/>
    <w:rsid w:val="00C75C32"/>
    <w:rsid w:val="00C839AE"/>
    <w:rsid w:val="00C96613"/>
    <w:rsid w:val="00C96A3C"/>
    <w:rsid w:val="00CA251F"/>
    <w:rsid w:val="00CA39A8"/>
    <w:rsid w:val="00CA4E40"/>
    <w:rsid w:val="00CC6BDD"/>
    <w:rsid w:val="00CC72CA"/>
    <w:rsid w:val="00CD4E01"/>
    <w:rsid w:val="00CE1682"/>
    <w:rsid w:val="00CF461D"/>
    <w:rsid w:val="00D105D3"/>
    <w:rsid w:val="00D16FC6"/>
    <w:rsid w:val="00D2213D"/>
    <w:rsid w:val="00D32FA7"/>
    <w:rsid w:val="00D42171"/>
    <w:rsid w:val="00D6081D"/>
    <w:rsid w:val="00D61929"/>
    <w:rsid w:val="00D65964"/>
    <w:rsid w:val="00D7096F"/>
    <w:rsid w:val="00D84257"/>
    <w:rsid w:val="00D94E5F"/>
    <w:rsid w:val="00D9633C"/>
    <w:rsid w:val="00DA0C72"/>
    <w:rsid w:val="00DA2449"/>
    <w:rsid w:val="00DA6355"/>
    <w:rsid w:val="00DB1F7B"/>
    <w:rsid w:val="00DD783E"/>
    <w:rsid w:val="00E01251"/>
    <w:rsid w:val="00E01556"/>
    <w:rsid w:val="00E1244C"/>
    <w:rsid w:val="00E16EF7"/>
    <w:rsid w:val="00E36E87"/>
    <w:rsid w:val="00E40D4F"/>
    <w:rsid w:val="00E440F5"/>
    <w:rsid w:val="00E52503"/>
    <w:rsid w:val="00E645E3"/>
    <w:rsid w:val="00E7001E"/>
    <w:rsid w:val="00E82780"/>
    <w:rsid w:val="00E949DC"/>
    <w:rsid w:val="00EA3D0A"/>
    <w:rsid w:val="00EA3D89"/>
    <w:rsid w:val="00EB1C85"/>
    <w:rsid w:val="00EB5583"/>
    <w:rsid w:val="00EC41B0"/>
    <w:rsid w:val="00EE36B3"/>
    <w:rsid w:val="00EE46EE"/>
    <w:rsid w:val="00EF0F97"/>
    <w:rsid w:val="00F2429B"/>
    <w:rsid w:val="00F412F0"/>
    <w:rsid w:val="00F42BFC"/>
    <w:rsid w:val="00F4515B"/>
    <w:rsid w:val="00F7049D"/>
    <w:rsid w:val="00F71759"/>
    <w:rsid w:val="00F739B4"/>
    <w:rsid w:val="00F83949"/>
    <w:rsid w:val="00FA6BE2"/>
    <w:rsid w:val="00FC13AB"/>
    <w:rsid w:val="00FD21A4"/>
    <w:rsid w:val="00FE50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qFormat/>
    <w:rsid w:val="00567C3E"/>
    <w:pPr>
      <w:ind w:left="720"/>
      <w:contextualSpacing/>
    </w:pPr>
    <w:rPr>
      <w:rFonts w:ascii="Calibri" w:eastAsia="Calibri" w:hAnsi="Calibri" w:cs="Times New Roman"/>
    </w:rPr>
  </w:style>
  <w:style w:type="character" w:customStyle="1" w:styleId="AkapitzlistZnak">
    <w:name w:val="Akapit z listą Znak"/>
    <w:link w:val="Akapitzlist"/>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 w:type="character" w:customStyle="1" w:styleId="BulletSymbols">
    <w:name w:val="Bullet Symbols"/>
    <w:rsid w:val="0089312C"/>
    <w:rPr>
      <w:rFonts w:ascii="OpenSymbol" w:eastAsia="OpenSymbol" w:hAnsi="OpenSymbol" w:cs="OpenSymbol"/>
    </w:rPr>
  </w:style>
  <w:style w:type="numbering" w:customStyle="1" w:styleId="WWNum3">
    <w:name w:val="WWNum3"/>
    <w:basedOn w:val="Bezlisty"/>
    <w:rsid w:val="0089312C"/>
    <w:pPr>
      <w:numPr>
        <w:numId w:val="14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7C3E"/>
    <w:rPr>
      <w:rFonts w:eastAsiaTheme="minorEastAsia"/>
      <w:lang w:eastAsia="pl-PL"/>
    </w:rPr>
  </w:style>
  <w:style w:type="paragraph" w:styleId="Nagwek1">
    <w:name w:val="heading 1"/>
    <w:basedOn w:val="Normalny"/>
    <w:next w:val="Normalny"/>
    <w:link w:val="Nagwek1Znak"/>
    <w:uiPriority w:val="9"/>
    <w:qFormat/>
    <w:rsid w:val="00567C3E"/>
    <w:pPr>
      <w:keepNext/>
      <w:keepLines/>
      <w:spacing w:before="240" w:after="240" w:line="240" w:lineRule="auto"/>
      <w:jc w:val="both"/>
      <w:outlineLvl w:val="0"/>
    </w:pPr>
    <w:rPr>
      <w:rFonts w:ascii="Garamond" w:eastAsiaTheme="majorEastAsia" w:hAnsi="Garamond" w:cstheme="majorBidi"/>
      <w:b/>
      <w:bCs/>
      <w:color w:val="824BB0"/>
      <w:sz w:val="28"/>
      <w:szCs w:val="28"/>
    </w:rPr>
  </w:style>
  <w:style w:type="paragraph" w:styleId="Nagwek2">
    <w:name w:val="heading 2"/>
    <w:basedOn w:val="Normalny"/>
    <w:next w:val="Normalny"/>
    <w:link w:val="Nagwek2Znak"/>
    <w:uiPriority w:val="9"/>
    <w:unhideWhenUsed/>
    <w:qFormat/>
    <w:rsid w:val="00567C3E"/>
    <w:pPr>
      <w:keepNext/>
      <w:keepLines/>
      <w:spacing w:before="240" w:after="240" w:line="240" w:lineRule="auto"/>
      <w:jc w:val="both"/>
      <w:outlineLvl w:val="1"/>
    </w:pPr>
    <w:rPr>
      <w:rFonts w:ascii="Garamond" w:eastAsiaTheme="majorEastAsia" w:hAnsi="Garamond" w:cstheme="majorBidi"/>
      <w:b/>
      <w:bCs/>
      <w:color w:val="824BB0"/>
      <w:sz w:val="24"/>
      <w:szCs w:val="26"/>
    </w:rPr>
  </w:style>
  <w:style w:type="paragraph" w:styleId="Nagwek3">
    <w:name w:val="heading 3"/>
    <w:basedOn w:val="Normalny"/>
    <w:next w:val="Normalny"/>
    <w:link w:val="Nagwek3Znak"/>
    <w:uiPriority w:val="9"/>
    <w:semiHidden/>
    <w:unhideWhenUsed/>
    <w:qFormat/>
    <w:rsid w:val="00567C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7C3E"/>
    <w:rPr>
      <w:rFonts w:ascii="Garamond" w:eastAsiaTheme="majorEastAsia" w:hAnsi="Garamond" w:cstheme="majorBidi"/>
      <w:b/>
      <w:bCs/>
      <w:color w:val="824BB0"/>
      <w:sz w:val="28"/>
      <w:szCs w:val="28"/>
      <w:lang w:eastAsia="pl-PL"/>
    </w:rPr>
  </w:style>
  <w:style w:type="character" w:customStyle="1" w:styleId="Nagwek2Znak">
    <w:name w:val="Nagłówek 2 Znak"/>
    <w:basedOn w:val="Domylnaczcionkaakapitu"/>
    <w:link w:val="Nagwek2"/>
    <w:uiPriority w:val="9"/>
    <w:rsid w:val="00567C3E"/>
    <w:rPr>
      <w:rFonts w:ascii="Garamond" w:eastAsiaTheme="majorEastAsia" w:hAnsi="Garamond" w:cstheme="majorBidi"/>
      <w:b/>
      <w:bCs/>
      <w:color w:val="824BB0"/>
      <w:sz w:val="24"/>
      <w:szCs w:val="26"/>
      <w:lang w:eastAsia="pl-PL"/>
    </w:rPr>
  </w:style>
  <w:style w:type="character" w:customStyle="1" w:styleId="Nagwek3Znak">
    <w:name w:val="Nagłówek 3 Znak"/>
    <w:basedOn w:val="Domylnaczcionkaakapitu"/>
    <w:link w:val="Nagwek3"/>
    <w:uiPriority w:val="9"/>
    <w:semiHidden/>
    <w:rsid w:val="00567C3E"/>
    <w:rPr>
      <w:rFonts w:asciiTheme="majorHAnsi" w:eastAsiaTheme="majorEastAsia" w:hAnsiTheme="majorHAnsi" w:cstheme="majorBidi"/>
      <w:b/>
      <w:bCs/>
      <w:color w:val="4F81BD" w:themeColor="accent1"/>
      <w:lang w:eastAsia="pl-PL"/>
    </w:rPr>
  </w:style>
  <w:style w:type="table" w:styleId="Tabela-Siatka">
    <w:name w:val="Table Grid"/>
    <w:basedOn w:val="Standardowy"/>
    <w:uiPriority w:val="59"/>
    <w:rsid w:val="00567C3E"/>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
    <w:name w:val="Styl1"/>
    <w:basedOn w:val="Standardowy"/>
    <w:uiPriority w:val="99"/>
    <w:rsid w:val="00567C3E"/>
    <w:pPr>
      <w:spacing w:after="0" w:line="240" w:lineRule="auto"/>
      <w:jc w:val="center"/>
    </w:pPr>
    <w:rPr>
      <w:rFonts w:ascii="Arial" w:eastAsiaTheme="minorEastAsia" w:hAnsi="Arial"/>
      <w:sz w:val="16"/>
      <w:lang w:eastAsia="pl-PL"/>
    </w:rPr>
    <w:tblPr>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Pr>
    <w:tcPr>
      <w:shd w:val="clear" w:color="auto" w:fill="auto"/>
      <w:vAlign w:val="center"/>
    </w:tcPr>
    <w:tblStylePr w:type="firstRow">
      <w:pPr>
        <w:wordWrap/>
        <w:jc w:val="center"/>
      </w:pPr>
      <w:rPr>
        <w:rFonts w:ascii="Arial" w:hAnsi="Arial"/>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28AADA"/>
      </w:tcPr>
    </w:tblStylePr>
  </w:style>
  <w:style w:type="paragraph" w:styleId="Tekstdymka">
    <w:name w:val="Balloon Text"/>
    <w:basedOn w:val="Normalny"/>
    <w:link w:val="TekstdymkaZnak"/>
    <w:uiPriority w:val="99"/>
    <w:semiHidden/>
    <w:unhideWhenUsed/>
    <w:rsid w:val="00567C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7C3E"/>
    <w:rPr>
      <w:rFonts w:ascii="Tahoma" w:eastAsiaTheme="minorEastAsia" w:hAnsi="Tahoma" w:cs="Tahoma"/>
      <w:sz w:val="16"/>
      <w:szCs w:val="16"/>
      <w:lang w:eastAsia="pl-PL"/>
    </w:rPr>
  </w:style>
  <w:style w:type="character" w:customStyle="1" w:styleId="apple-converted-space">
    <w:name w:val="apple-converted-space"/>
    <w:basedOn w:val="Domylnaczcionkaakapitu"/>
    <w:rsid w:val="00567C3E"/>
  </w:style>
  <w:style w:type="character" w:styleId="Hipercze">
    <w:name w:val="Hyperlink"/>
    <w:basedOn w:val="Domylnaczcionkaakapitu"/>
    <w:uiPriority w:val="99"/>
    <w:unhideWhenUsed/>
    <w:rsid w:val="00567C3E"/>
    <w:rPr>
      <w:color w:val="0000FF"/>
      <w:u w:val="single"/>
    </w:rPr>
  </w:style>
  <w:style w:type="paragraph" w:styleId="Akapitzlist">
    <w:name w:val="List Paragraph"/>
    <w:basedOn w:val="Normalny"/>
    <w:link w:val="AkapitzlistZnak"/>
    <w:qFormat/>
    <w:rsid w:val="00567C3E"/>
    <w:pPr>
      <w:ind w:left="720"/>
      <w:contextualSpacing/>
    </w:pPr>
    <w:rPr>
      <w:rFonts w:ascii="Calibri" w:eastAsia="Calibri" w:hAnsi="Calibri" w:cs="Times New Roman"/>
    </w:rPr>
  </w:style>
  <w:style w:type="character" w:customStyle="1" w:styleId="AkapitzlistZnak">
    <w:name w:val="Akapit z listą Znak"/>
    <w:link w:val="Akapitzlist"/>
    <w:rsid w:val="00567C3E"/>
    <w:rPr>
      <w:rFonts w:ascii="Calibri" w:eastAsia="Calibri" w:hAnsi="Calibri" w:cs="Times New Roman"/>
      <w:lang w:eastAsia="pl-PL"/>
    </w:rPr>
  </w:style>
  <w:style w:type="character" w:styleId="Odwoaniedokomentarza">
    <w:name w:val="annotation reference"/>
    <w:basedOn w:val="Domylnaczcionkaakapitu"/>
    <w:uiPriority w:val="99"/>
    <w:semiHidden/>
    <w:unhideWhenUsed/>
    <w:rsid w:val="00567C3E"/>
    <w:rPr>
      <w:sz w:val="16"/>
      <w:szCs w:val="16"/>
    </w:rPr>
  </w:style>
  <w:style w:type="paragraph" w:styleId="Tekstkomentarza">
    <w:name w:val="annotation text"/>
    <w:basedOn w:val="Normalny"/>
    <w:link w:val="TekstkomentarzaZnak"/>
    <w:uiPriority w:val="99"/>
    <w:semiHidden/>
    <w:unhideWhenUsed/>
    <w:rsid w:val="00567C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67C3E"/>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67C3E"/>
    <w:rPr>
      <w:b/>
      <w:bCs/>
    </w:rPr>
  </w:style>
  <w:style w:type="character" w:customStyle="1" w:styleId="TematkomentarzaZnak">
    <w:name w:val="Temat komentarza Znak"/>
    <w:basedOn w:val="TekstkomentarzaZnak"/>
    <w:link w:val="Tematkomentarza"/>
    <w:uiPriority w:val="99"/>
    <w:semiHidden/>
    <w:rsid w:val="00567C3E"/>
    <w:rPr>
      <w:rFonts w:eastAsiaTheme="minorEastAsia"/>
      <w:b/>
      <w:bCs/>
      <w:sz w:val="20"/>
      <w:szCs w:val="20"/>
      <w:lang w:eastAsia="pl-PL"/>
    </w:rPr>
  </w:style>
  <w:style w:type="paragraph" w:styleId="Tekstprzypisudolnego">
    <w:name w:val="footnote text"/>
    <w:basedOn w:val="Normalny"/>
    <w:link w:val="TekstprzypisudolnegoZnak"/>
    <w:uiPriority w:val="99"/>
    <w:unhideWhenUsed/>
    <w:rsid w:val="00567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67C3E"/>
    <w:rPr>
      <w:rFonts w:eastAsiaTheme="minorEastAsia"/>
      <w:sz w:val="20"/>
      <w:szCs w:val="20"/>
      <w:lang w:eastAsia="pl-PL"/>
    </w:rPr>
  </w:style>
  <w:style w:type="character" w:styleId="Odwoanieprzypisudolnego">
    <w:name w:val="footnote reference"/>
    <w:basedOn w:val="Domylnaczcionkaakapitu"/>
    <w:uiPriority w:val="99"/>
    <w:unhideWhenUsed/>
    <w:rsid w:val="00567C3E"/>
    <w:rPr>
      <w:vertAlign w:val="superscript"/>
    </w:rPr>
  </w:style>
  <w:style w:type="paragraph" w:customStyle="1" w:styleId="Tekstpodstawowywcity21">
    <w:name w:val="Tekst podstawowy wcięty 21"/>
    <w:basedOn w:val="Normalny"/>
    <w:rsid w:val="00567C3E"/>
    <w:pPr>
      <w:suppressAutoHyphens/>
      <w:spacing w:after="0" w:line="240" w:lineRule="auto"/>
      <w:ind w:left="708"/>
      <w:jc w:val="both"/>
    </w:pPr>
    <w:rPr>
      <w:rFonts w:ascii="Times New Roman" w:eastAsia="Times New Roman" w:hAnsi="Times New Roman" w:cs="Times New Roman"/>
      <w:b/>
      <w:sz w:val="24"/>
      <w:szCs w:val="20"/>
      <w:lang w:eastAsia="ar-SA"/>
    </w:rPr>
  </w:style>
  <w:style w:type="paragraph" w:customStyle="1" w:styleId="Standard">
    <w:name w:val="Standard"/>
    <w:rsid w:val="00567C3E"/>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Tekstpodstawowy22">
    <w:name w:val="Tekst podstawowy 22"/>
    <w:basedOn w:val="Normalny"/>
    <w:rsid w:val="00567C3E"/>
    <w:pPr>
      <w:widowControl w:val="0"/>
      <w:suppressAutoHyphens/>
      <w:spacing w:after="0" w:line="360" w:lineRule="auto"/>
      <w:jc w:val="both"/>
    </w:pPr>
    <w:rPr>
      <w:rFonts w:ascii="Arial" w:eastAsia="Andale Sans UI" w:hAnsi="Arial" w:cs="Arial"/>
      <w:kern w:val="1"/>
      <w:szCs w:val="24"/>
    </w:rPr>
  </w:style>
  <w:style w:type="paragraph" w:styleId="Tekstpodstawowywcity">
    <w:name w:val="Body Text Indent"/>
    <w:basedOn w:val="Normalny"/>
    <w:link w:val="TekstpodstawowywcityZnak"/>
    <w:rsid w:val="00567C3E"/>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TekstpodstawowywcityZnak">
    <w:name w:val="Tekst podstawowy wcięty Znak"/>
    <w:basedOn w:val="Domylnaczcionkaakapitu"/>
    <w:link w:val="Tekstpodstawowywcity"/>
    <w:rsid w:val="00567C3E"/>
    <w:rPr>
      <w:rFonts w:ascii="Times New Roman" w:eastAsia="Andale Sans UI" w:hAnsi="Times New Roman" w:cs="Times New Roman"/>
      <w:kern w:val="1"/>
      <w:sz w:val="24"/>
      <w:szCs w:val="24"/>
      <w:lang w:eastAsia="pl-PL"/>
    </w:rPr>
  </w:style>
  <w:style w:type="paragraph" w:styleId="Stopka">
    <w:name w:val="footer"/>
    <w:basedOn w:val="Normalny"/>
    <w:link w:val="StopkaZnak"/>
    <w:uiPriority w:val="99"/>
    <w:rsid w:val="00567C3E"/>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rPr>
  </w:style>
  <w:style w:type="character" w:customStyle="1" w:styleId="StopkaZnak">
    <w:name w:val="Stopka Znak"/>
    <w:basedOn w:val="Domylnaczcionkaakapitu"/>
    <w:link w:val="Stopka"/>
    <w:uiPriority w:val="99"/>
    <w:rsid w:val="00567C3E"/>
    <w:rPr>
      <w:rFonts w:ascii="Times New Roman" w:eastAsia="Andale Sans UI" w:hAnsi="Times New Roman" w:cs="Times New Roman"/>
      <w:kern w:val="1"/>
      <w:sz w:val="24"/>
      <w:szCs w:val="24"/>
      <w:lang w:eastAsia="pl-PL"/>
    </w:rPr>
  </w:style>
  <w:style w:type="paragraph" w:customStyle="1" w:styleId="Tekstpodstawowy31">
    <w:name w:val="Tekst podstawowy 31"/>
    <w:basedOn w:val="Normalny"/>
    <w:rsid w:val="00567C3E"/>
    <w:pPr>
      <w:widowControl w:val="0"/>
      <w:suppressAutoHyphens/>
      <w:spacing w:after="120" w:line="240" w:lineRule="auto"/>
    </w:pPr>
    <w:rPr>
      <w:rFonts w:ascii="Times New Roman" w:eastAsia="Andale Sans UI" w:hAnsi="Times New Roman" w:cs="Times New Roman"/>
      <w:kern w:val="1"/>
      <w:sz w:val="16"/>
      <w:szCs w:val="16"/>
    </w:rPr>
  </w:style>
  <w:style w:type="paragraph" w:customStyle="1" w:styleId="H2">
    <w:name w:val="H2"/>
    <w:basedOn w:val="Normalny"/>
    <w:next w:val="Normalny"/>
    <w:rsid w:val="00567C3E"/>
    <w:pPr>
      <w:keepNext/>
      <w:widowControl w:val="0"/>
      <w:suppressAutoHyphens/>
      <w:spacing w:before="100" w:after="100" w:line="240" w:lineRule="auto"/>
    </w:pPr>
    <w:rPr>
      <w:rFonts w:ascii="Arial" w:eastAsia="Andale Sans UI" w:hAnsi="Arial" w:cs="Arial"/>
      <w:b/>
      <w:spacing w:val="16"/>
      <w:kern w:val="1"/>
      <w:sz w:val="36"/>
      <w:szCs w:val="20"/>
    </w:rPr>
  </w:style>
  <w:style w:type="paragraph" w:styleId="Tekstprzypisukocowego">
    <w:name w:val="endnote text"/>
    <w:basedOn w:val="Normalny"/>
    <w:link w:val="TekstprzypisukocowegoZnak"/>
    <w:uiPriority w:val="99"/>
    <w:semiHidden/>
    <w:unhideWhenUsed/>
    <w:rsid w:val="00567C3E"/>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567C3E"/>
    <w:rPr>
      <w:rFonts w:ascii="Calibri" w:eastAsia="Calibri" w:hAnsi="Calibri" w:cs="Times New Roman"/>
      <w:sz w:val="20"/>
      <w:szCs w:val="20"/>
      <w:lang w:eastAsia="pl-PL"/>
    </w:rPr>
  </w:style>
  <w:style w:type="paragraph" w:styleId="NormalnyWeb">
    <w:name w:val="Normal (Web)"/>
    <w:basedOn w:val="Normalny"/>
    <w:uiPriority w:val="99"/>
    <w:rsid w:val="00567C3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qFormat/>
    <w:rsid w:val="00567C3E"/>
    <w:rPr>
      <w:b/>
      <w:bCs/>
    </w:rPr>
  </w:style>
  <w:style w:type="paragraph" w:customStyle="1" w:styleId="Default">
    <w:name w:val="Default"/>
    <w:basedOn w:val="Normalny"/>
    <w:rsid w:val="00567C3E"/>
    <w:pPr>
      <w:widowControl w:val="0"/>
      <w:suppressAutoHyphens/>
      <w:autoSpaceDE w:val="0"/>
      <w:spacing w:after="0" w:line="240" w:lineRule="auto"/>
    </w:pPr>
    <w:rPr>
      <w:rFonts w:ascii="Calibri" w:eastAsia="Calibri" w:hAnsi="Calibri" w:cs="Calibri"/>
      <w:color w:val="000000"/>
      <w:kern w:val="1"/>
      <w:sz w:val="24"/>
      <w:szCs w:val="24"/>
    </w:rPr>
  </w:style>
  <w:style w:type="paragraph" w:styleId="Nagwek">
    <w:name w:val="header"/>
    <w:basedOn w:val="Normalny"/>
    <w:link w:val="NagwekZnak"/>
    <w:uiPriority w:val="99"/>
    <w:unhideWhenUsed/>
    <w:rsid w:val="00567C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7C3E"/>
    <w:rPr>
      <w:rFonts w:eastAsiaTheme="minorEastAsia"/>
      <w:lang w:eastAsia="pl-PL"/>
    </w:rPr>
  </w:style>
  <w:style w:type="paragraph" w:customStyle="1" w:styleId="Pa9">
    <w:name w:val="Pa9"/>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character" w:customStyle="1" w:styleId="A9">
    <w:name w:val="A9"/>
    <w:uiPriority w:val="99"/>
    <w:rsid w:val="00567C3E"/>
    <w:rPr>
      <w:b/>
      <w:bCs/>
      <w:color w:val="000000"/>
      <w:sz w:val="16"/>
      <w:szCs w:val="16"/>
    </w:rPr>
  </w:style>
  <w:style w:type="paragraph" w:customStyle="1" w:styleId="Pa13">
    <w:name w:val="Pa13"/>
    <w:basedOn w:val="Default"/>
    <w:next w:val="Default"/>
    <w:uiPriority w:val="99"/>
    <w:rsid w:val="00567C3E"/>
    <w:pPr>
      <w:widowControl/>
      <w:suppressAutoHyphens w:val="0"/>
      <w:autoSpaceDN w:val="0"/>
      <w:adjustRightInd w:val="0"/>
      <w:spacing w:line="241" w:lineRule="atLeast"/>
    </w:pPr>
    <w:rPr>
      <w:rFonts w:ascii="Arial" w:hAnsi="Arial" w:cs="Arial"/>
      <w:color w:val="auto"/>
      <w:kern w:val="0"/>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567C3E"/>
    <w:pPr>
      <w:spacing w:before="120" w:after="0" w:line="360" w:lineRule="auto"/>
      <w:jc w:val="both"/>
    </w:pPr>
    <w:rPr>
      <w:rFonts w:ascii="Garamond" w:hAnsi="Garamond"/>
      <w:b/>
      <w:bCs/>
      <w:sz w:val="20"/>
      <w:szCs w:val="18"/>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locked/>
    <w:rsid w:val="00567C3E"/>
    <w:rPr>
      <w:rFonts w:ascii="Garamond" w:eastAsiaTheme="minorEastAsia" w:hAnsi="Garamond"/>
      <w:b/>
      <w:bCs/>
      <w:sz w:val="20"/>
      <w:szCs w:val="18"/>
      <w:lang w:eastAsia="pl-PL"/>
    </w:rPr>
  </w:style>
  <w:style w:type="paragraph" w:customStyle="1" w:styleId="S1">
    <w:name w:val="S1"/>
    <w:basedOn w:val="Akapitzlist"/>
    <w:link w:val="S1Znak"/>
    <w:qFormat/>
    <w:rsid w:val="00567C3E"/>
    <w:pPr>
      <w:numPr>
        <w:numId w:val="13"/>
      </w:numPr>
      <w:jc w:val="both"/>
    </w:pPr>
    <w:rPr>
      <w:rFonts w:ascii="Garamond" w:hAnsi="Garamond"/>
      <w:b/>
      <w:color w:val="4F2D7F"/>
      <w:sz w:val="40"/>
    </w:rPr>
  </w:style>
  <w:style w:type="character" w:customStyle="1" w:styleId="S1Znak">
    <w:name w:val="S1 Znak"/>
    <w:basedOn w:val="AkapitzlistZnak"/>
    <w:link w:val="S1"/>
    <w:rsid w:val="00567C3E"/>
    <w:rPr>
      <w:rFonts w:ascii="Garamond" w:eastAsia="Calibri" w:hAnsi="Garamond" w:cs="Times New Roman"/>
      <w:b/>
      <w:color w:val="4F2D7F"/>
      <w:sz w:val="40"/>
      <w:lang w:eastAsia="pl-PL"/>
    </w:rPr>
  </w:style>
  <w:style w:type="paragraph" w:customStyle="1" w:styleId="S2">
    <w:name w:val="S2"/>
    <w:basedOn w:val="Akapitzlist"/>
    <w:link w:val="S2Znak"/>
    <w:qFormat/>
    <w:rsid w:val="00567C3E"/>
    <w:pPr>
      <w:spacing w:after="0" w:line="240" w:lineRule="auto"/>
      <w:ind w:hanging="720"/>
    </w:pPr>
    <w:rPr>
      <w:rFonts w:ascii="Garamond" w:hAnsi="Garamond" w:cs="Arial"/>
      <w:b/>
      <w:color w:val="824BB0"/>
      <w:sz w:val="28"/>
    </w:rPr>
  </w:style>
  <w:style w:type="character" w:customStyle="1" w:styleId="S2Znak">
    <w:name w:val="S2 Znak"/>
    <w:basedOn w:val="AkapitzlistZnak"/>
    <w:link w:val="S2"/>
    <w:rsid w:val="00567C3E"/>
    <w:rPr>
      <w:rFonts w:ascii="Garamond" w:eastAsia="Calibri" w:hAnsi="Garamond" w:cs="Arial"/>
      <w:b/>
      <w:color w:val="824BB0"/>
      <w:sz w:val="28"/>
      <w:lang w:eastAsia="pl-PL"/>
    </w:rPr>
  </w:style>
  <w:style w:type="paragraph" w:styleId="Spistreci1">
    <w:name w:val="toc 1"/>
    <w:basedOn w:val="Normalny"/>
    <w:next w:val="Normalny"/>
    <w:autoRedefine/>
    <w:uiPriority w:val="39"/>
    <w:unhideWhenUsed/>
    <w:rsid w:val="00567C3E"/>
    <w:pPr>
      <w:tabs>
        <w:tab w:val="right" w:leader="dot" w:pos="9062"/>
      </w:tabs>
      <w:spacing w:after="100"/>
    </w:pPr>
    <w:rPr>
      <w:rFonts w:ascii="Garamond" w:hAnsi="Garamond"/>
      <w:noProof/>
    </w:rPr>
  </w:style>
  <w:style w:type="paragraph" w:styleId="Spistreci2">
    <w:name w:val="toc 2"/>
    <w:basedOn w:val="Normalny"/>
    <w:next w:val="Normalny"/>
    <w:autoRedefine/>
    <w:uiPriority w:val="39"/>
    <w:unhideWhenUsed/>
    <w:rsid w:val="00567C3E"/>
    <w:pPr>
      <w:spacing w:after="100"/>
      <w:ind w:left="220"/>
    </w:pPr>
  </w:style>
  <w:style w:type="paragraph" w:customStyle="1" w:styleId="T">
    <w:name w:val="T"/>
    <w:basedOn w:val="Normalny"/>
    <w:link w:val="TZnak"/>
    <w:qFormat/>
    <w:rsid w:val="00567C3E"/>
    <w:pPr>
      <w:spacing w:before="120" w:after="120"/>
      <w:jc w:val="both"/>
    </w:pPr>
    <w:rPr>
      <w:rFonts w:ascii="Garamond" w:hAnsi="Garamond"/>
      <w:b/>
      <w:color w:val="4F2D7F"/>
      <w:sz w:val="20"/>
    </w:rPr>
  </w:style>
  <w:style w:type="character" w:customStyle="1" w:styleId="TZnak">
    <w:name w:val="T Znak"/>
    <w:basedOn w:val="Domylnaczcionkaakapitu"/>
    <w:link w:val="T"/>
    <w:rsid w:val="00567C3E"/>
    <w:rPr>
      <w:rFonts w:ascii="Garamond" w:eastAsiaTheme="minorEastAsia" w:hAnsi="Garamond"/>
      <w:b/>
      <w:color w:val="4F2D7F"/>
      <w:sz w:val="20"/>
      <w:lang w:eastAsia="pl-PL"/>
    </w:rPr>
  </w:style>
  <w:style w:type="paragraph" w:customStyle="1" w:styleId="M">
    <w:name w:val="M"/>
    <w:basedOn w:val="Normalny"/>
    <w:link w:val="MZnak"/>
    <w:qFormat/>
    <w:rsid w:val="00567C3E"/>
    <w:pPr>
      <w:spacing w:before="120" w:after="120"/>
      <w:jc w:val="both"/>
    </w:pPr>
    <w:rPr>
      <w:rFonts w:ascii="Garamond" w:hAnsi="Garamond"/>
      <w:b/>
      <w:color w:val="4F2D7F"/>
      <w:sz w:val="20"/>
    </w:rPr>
  </w:style>
  <w:style w:type="character" w:customStyle="1" w:styleId="MZnak">
    <w:name w:val="M Znak"/>
    <w:basedOn w:val="Domylnaczcionkaakapitu"/>
    <w:link w:val="M"/>
    <w:rsid w:val="00567C3E"/>
    <w:rPr>
      <w:rFonts w:ascii="Garamond" w:eastAsiaTheme="minorEastAsia" w:hAnsi="Garamond"/>
      <w:b/>
      <w:color w:val="4F2D7F"/>
      <w:sz w:val="20"/>
      <w:lang w:eastAsia="pl-PL"/>
    </w:rPr>
  </w:style>
  <w:style w:type="paragraph" w:customStyle="1" w:styleId="W">
    <w:name w:val="W"/>
    <w:basedOn w:val="Normalny"/>
    <w:link w:val="WZnak"/>
    <w:qFormat/>
    <w:rsid w:val="00567C3E"/>
    <w:pPr>
      <w:spacing w:before="120" w:after="120"/>
    </w:pPr>
    <w:rPr>
      <w:rFonts w:ascii="Garamond" w:hAnsi="Garamond" w:cs="Arial"/>
      <w:b/>
      <w:color w:val="4F2D7F"/>
      <w:sz w:val="20"/>
    </w:rPr>
  </w:style>
  <w:style w:type="character" w:customStyle="1" w:styleId="WZnak">
    <w:name w:val="W Znak"/>
    <w:basedOn w:val="Domylnaczcionkaakapitu"/>
    <w:link w:val="W"/>
    <w:rsid w:val="00567C3E"/>
    <w:rPr>
      <w:rFonts w:ascii="Garamond" w:eastAsiaTheme="minorEastAsia" w:hAnsi="Garamond" w:cs="Arial"/>
      <w:b/>
      <w:color w:val="4F2D7F"/>
      <w:sz w:val="20"/>
      <w:lang w:eastAsia="pl-PL"/>
    </w:rPr>
  </w:style>
  <w:style w:type="paragraph" w:customStyle="1" w:styleId="Domylnie">
    <w:name w:val="Domy?lnie"/>
    <w:rsid w:val="00567C3E"/>
    <w:pPr>
      <w:autoSpaceDE w:val="0"/>
      <w:autoSpaceDN w:val="0"/>
      <w:adjustRightInd w:val="0"/>
      <w:spacing w:after="0" w:line="200" w:lineRule="atLeast"/>
    </w:pPr>
    <w:rPr>
      <w:rFonts w:ascii="Mangal" w:eastAsia="Arial Unicode MS" w:hAnsi="Mangal" w:cs="Mangal"/>
      <w:color w:val="FFFFFF"/>
      <w:kern w:val="1"/>
      <w:sz w:val="36"/>
      <w:szCs w:val="36"/>
      <w:lang w:eastAsia="pl-PL"/>
    </w:rPr>
  </w:style>
  <w:style w:type="character" w:customStyle="1" w:styleId="A1">
    <w:name w:val="A1"/>
    <w:rsid w:val="00567C3E"/>
    <w:rPr>
      <w:rFonts w:cs="Humanst521EU"/>
      <w:color w:val="000000"/>
      <w:sz w:val="22"/>
      <w:szCs w:val="22"/>
    </w:rPr>
  </w:style>
  <w:style w:type="paragraph" w:customStyle="1" w:styleId="T1">
    <w:name w:val="T1"/>
    <w:basedOn w:val="Normalny"/>
    <w:link w:val="T1Znak"/>
    <w:qFormat/>
    <w:rsid w:val="00567C3E"/>
    <w:pPr>
      <w:spacing w:after="120"/>
    </w:pPr>
    <w:rPr>
      <w:rFonts w:ascii="Garamond" w:hAnsi="Garamond" w:cs="Arial"/>
      <w:b/>
      <w:color w:val="000000" w:themeColor="text1"/>
      <w:sz w:val="20"/>
    </w:rPr>
  </w:style>
  <w:style w:type="character" w:customStyle="1" w:styleId="T1Znak">
    <w:name w:val="T1 Znak"/>
    <w:basedOn w:val="Domylnaczcionkaakapitu"/>
    <w:link w:val="T1"/>
    <w:rsid w:val="00567C3E"/>
    <w:rPr>
      <w:rFonts w:ascii="Garamond" w:eastAsiaTheme="minorEastAsia" w:hAnsi="Garamond" w:cs="Arial"/>
      <w:b/>
      <w:color w:val="000000" w:themeColor="text1"/>
      <w:sz w:val="20"/>
      <w:lang w:eastAsia="pl-PL"/>
    </w:rPr>
  </w:style>
  <w:style w:type="paragraph" w:styleId="Tekstpodstawowy">
    <w:name w:val="Body Text"/>
    <w:basedOn w:val="Normalny"/>
    <w:link w:val="TekstpodstawowyZnak"/>
    <w:unhideWhenUsed/>
    <w:rsid w:val="00567C3E"/>
    <w:pPr>
      <w:spacing w:after="120"/>
    </w:pPr>
  </w:style>
  <w:style w:type="character" w:customStyle="1" w:styleId="TekstpodstawowyZnak">
    <w:name w:val="Tekst podstawowy Znak"/>
    <w:basedOn w:val="Domylnaczcionkaakapitu"/>
    <w:link w:val="Tekstpodstawowy"/>
    <w:rsid w:val="00567C3E"/>
    <w:rPr>
      <w:rFonts w:eastAsiaTheme="minorEastAsia"/>
      <w:lang w:eastAsia="pl-PL"/>
    </w:rPr>
  </w:style>
  <w:style w:type="paragraph" w:customStyle="1" w:styleId="Zawartotabeli">
    <w:name w:val="Zawartość tabeli"/>
    <w:basedOn w:val="Normalny"/>
    <w:rsid w:val="00567C3E"/>
    <w:pPr>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omy9clnie">
    <w:name w:val="Domyś9clnie"/>
    <w:rsid w:val="00567C3E"/>
    <w:pPr>
      <w:widowControl w:val="0"/>
      <w:autoSpaceDE w:val="0"/>
      <w:autoSpaceDN w:val="0"/>
      <w:adjustRightInd w:val="0"/>
      <w:spacing w:after="0" w:line="240" w:lineRule="auto"/>
    </w:pPr>
    <w:rPr>
      <w:rFonts w:ascii="Times New Roman" w:eastAsiaTheme="minorEastAsia" w:hAnsi="Times New Roman" w:cs="Times New Roman"/>
      <w:kern w:val="1"/>
      <w:sz w:val="24"/>
      <w:szCs w:val="24"/>
      <w:lang w:eastAsia="zh-CN" w:bidi="hi-IN"/>
    </w:rPr>
  </w:style>
  <w:style w:type="paragraph" w:customStyle="1" w:styleId="Schemat">
    <w:name w:val="Schemat"/>
    <w:basedOn w:val="Normalny"/>
    <w:link w:val="SchematZnak"/>
    <w:qFormat/>
    <w:rsid w:val="00567C3E"/>
    <w:rPr>
      <w:rFonts w:ascii="Garamond" w:hAnsi="Garamond"/>
      <w:b/>
      <w:color w:val="4F2D7F"/>
      <w:sz w:val="20"/>
    </w:rPr>
  </w:style>
  <w:style w:type="character" w:customStyle="1" w:styleId="SchematZnak">
    <w:name w:val="Schemat Znak"/>
    <w:basedOn w:val="Domylnaczcionkaakapitu"/>
    <w:link w:val="Schemat"/>
    <w:rsid w:val="00567C3E"/>
    <w:rPr>
      <w:rFonts w:ascii="Garamond" w:eastAsiaTheme="minorEastAsia" w:hAnsi="Garamond"/>
      <w:b/>
      <w:color w:val="4F2D7F"/>
      <w:sz w:val="20"/>
      <w:lang w:eastAsia="pl-PL"/>
    </w:rPr>
  </w:style>
  <w:style w:type="paragraph" w:styleId="Tekstpodstawowywcity3">
    <w:name w:val="Body Text Indent 3"/>
    <w:basedOn w:val="Normalny"/>
    <w:link w:val="Tekstpodstawowywcity3Znak"/>
    <w:uiPriority w:val="99"/>
    <w:semiHidden/>
    <w:unhideWhenUsed/>
    <w:rsid w:val="00567C3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67C3E"/>
    <w:rPr>
      <w:rFonts w:eastAsiaTheme="minorEastAsia"/>
      <w:sz w:val="16"/>
      <w:szCs w:val="16"/>
      <w:lang w:eastAsia="pl-PL"/>
    </w:rPr>
  </w:style>
  <w:style w:type="paragraph" w:customStyle="1" w:styleId="TableContents">
    <w:name w:val="Table Contents"/>
    <w:basedOn w:val="Standard"/>
    <w:rsid w:val="00567C3E"/>
    <w:pPr>
      <w:suppressLineNumbers/>
      <w:textAlignment w:val="baseline"/>
    </w:pPr>
    <w:rPr>
      <w:rFonts w:eastAsia="SimSun" w:cs="Tahoma"/>
    </w:rPr>
  </w:style>
  <w:style w:type="character" w:customStyle="1" w:styleId="StrongEmphasis">
    <w:name w:val="Strong Emphasis"/>
    <w:basedOn w:val="Domylnaczcionkaakapitu"/>
    <w:rsid w:val="00567C3E"/>
    <w:rPr>
      <w:b/>
      <w:bCs/>
    </w:rPr>
  </w:style>
  <w:style w:type="paragraph" w:customStyle="1" w:styleId="P1">
    <w:name w:val="P1"/>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paragraph" w:customStyle="1" w:styleId="P2">
    <w:name w:val="P2"/>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9">
    <w:name w:val="P9"/>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5">
    <w:name w:val="T5"/>
    <w:hidden/>
    <w:rsid w:val="00567C3E"/>
  </w:style>
  <w:style w:type="paragraph" w:customStyle="1" w:styleId="P3">
    <w:name w:val="P3"/>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5">
    <w:name w:val="P5"/>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6">
    <w:name w:val="P6"/>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7">
    <w:name w:val="P7"/>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character" w:customStyle="1" w:styleId="T2">
    <w:name w:val="T2"/>
    <w:hidden/>
    <w:rsid w:val="00567C3E"/>
  </w:style>
  <w:style w:type="paragraph" w:customStyle="1" w:styleId="P4">
    <w:name w:val="P4"/>
    <w:basedOn w:val="Normalny"/>
    <w:hidden/>
    <w:rsid w:val="00567C3E"/>
    <w:pPr>
      <w:widowControl w:val="0"/>
      <w:suppressLineNumbers/>
      <w:adjustRightInd w:val="0"/>
      <w:spacing w:after="0" w:line="240" w:lineRule="auto"/>
    </w:pPr>
    <w:rPr>
      <w:rFonts w:ascii="Times New Roman" w:eastAsia="Lucida Sans Unicode" w:hAnsi="Times New Roman" w:cs="Mangal"/>
      <w:sz w:val="24"/>
      <w:szCs w:val="20"/>
    </w:rPr>
  </w:style>
  <w:style w:type="paragraph" w:customStyle="1" w:styleId="P8">
    <w:name w:val="P8"/>
    <w:basedOn w:val="Normalny"/>
    <w:hidden/>
    <w:rsid w:val="00567C3E"/>
    <w:pPr>
      <w:widowControl w:val="0"/>
      <w:suppressLineNumbers/>
      <w:adjustRightInd w:val="0"/>
      <w:spacing w:after="0" w:line="240" w:lineRule="auto"/>
      <w:jc w:val="center"/>
    </w:pPr>
    <w:rPr>
      <w:rFonts w:ascii="Times New Roman" w:eastAsia="Lucida Sans Unicode" w:hAnsi="Times New Roman" w:cs="Mangal"/>
      <w:sz w:val="24"/>
      <w:szCs w:val="20"/>
    </w:rPr>
  </w:style>
  <w:style w:type="character" w:customStyle="1" w:styleId="WW8Num15z4">
    <w:name w:val="WW8Num15z4"/>
    <w:rsid w:val="00567C3E"/>
  </w:style>
  <w:style w:type="paragraph" w:styleId="Spistreci3">
    <w:name w:val="toc 3"/>
    <w:basedOn w:val="Normalny"/>
    <w:next w:val="Normalny"/>
    <w:autoRedefine/>
    <w:uiPriority w:val="39"/>
    <w:unhideWhenUsed/>
    <w:rsid w:val="00567C3E"/>
    <w:pPr>
      <w:spacing w:after="100"/>
      <w:ind w:left="440"/>
    </w:pPr>
  </w:style>
  <w:style w:type="paragraph" w:styleId="Spistreci4">
    <w:name w:val="toc 4"/>
    <w:basedOn w:val="Normalny"/>
    <w:next w:val="Normalny"/>
    <w:autoRedefine/>
    <w:uiPriority w:val="39"/>
    <w:unhideWhenUsed/>
    <w:rsid w:val="00567C3E"/>
    <w:pPr>
      <w:spacing w:after="100"/>
      <w:ind w:left="660"/>
    </w:pPr>
  </w:style>
  <w:style w:type="paragraph" w:styleId="Spistreci5">
    <w:name w:val="toc 5"/>
    <w:basedOn w:val="Normalny"/>
    <w:next w:val="Normalny"/>
    <w:autoRedefine/>
    <w:uiPriority w:val="39"/>
    <w:unhideWhenUsed/>
    <w:rsid w:val="00567C3E"/>
    <w:pPr>
      <w:spacing w:after="100"/>
      <w:ind w:left="880"/>
    </w:pPr>
  </w:style>
  <w:style w:type="paragraph" w:styleId="Spistreci6">
    <w:name w:val="toc 6"/>
    <w:basedOn w:val="Normalny"/>
    <w:next w:val="Normalny"/>
    <w:autoRedefine/>
    <w:uiPriority w:val="39"/>
    <w:unhideWhenUsed/>
    <w:rsid w:val="00567C3E"/>
    <w:pPr>
      <w:spacing w:after="100"/>
      <w:ind w:left="1100"/>
    </w:pPr>
  </w:style>
  <w:style w:type="paragraph" w:styleId="Spistreci7">
    <w:name w:val="toc 7"/>
    <w:basedOn w:val="Normalny"/>
    <w:next w:val="Normalny"/>
    <w:autoRedefine/>
    <w:uiPriority w:val="39"/>
    <w:unhideWhenUsed/>
    <w:rsid w:val="00567C3E"/>
    <w:pPr>
      <w:spacing w:after="100"/>
      <w:ind w:left="1320"/>
    </w:pPr>
  </w:style>
  <w:style w:type="paragraph" w:styleId="Spistreci8">
    <w:name w:val="toc 8"/>
    <w:basedOn w:val="Normalny"/>
    <w:next w:val="Normalny"/>
    <w:autoRedefine/>
    <w:uiPriority w:val="39"/>
    <w:unhideWhenUsed/>
    <w:rsid w:val="00567C3E"/>
    <w:pPr>
      <w:spacing w:after="100"/>
      <w:ind w:left="1540"/>
    </w:pPr>
  </w:style>
  <w:style w:type="paragraph" w:styleId="Spistreci9">
    <w:name w:val="toc 9"/>
    <w:basedOn w:val="Normalny"/>
    <w:next w:val="Normalny"/>
    <w:autoRedefine/>
    <w:uiPriority w:val="39"/>
    <w:unhideWhenUsed/>
    <w:rsid w:val="00567C3E"/>
    <w:pPr>
      <w:spacing w:after="100"/>
      <w:ind w:left="1760"/>
    </w:pPr>
  </w:style>
  <w:style w:type="paragraph" w:customStyle="1" w:styleId="ST1">
    <w:name w:val="ST1"/>
    <w:basedOn w:val="Akapitzlist"/>
    <w:link w:val="ST1Znak"/>
    <w:qFormat/>
    <w:rsid w:val="00567C3E"/>
    <w:pPr>
      <w:ind w:left="0"/>
      <w:jc w:val="both"/>
    </w:pPr>
    <w:rPr>
      <w:rFonts w:ascii="Garamond" w:hAnsi="Garamond"/>
      <w:b/>
      <w:color w:val="4F2D7F"/>
      <w:sz w:val="40"/>
    </w:rPr>
  </w:style>
  <w:style w:type="character" w:customStyle="1" w:styleId="ST1Znak">
    <w:name w:val="ST1 Znak"/>
    <w:basedOn w:val="AkapitzlistZnak"/>
    <w:link w:val="ST1"/>
    <w:rsid w:val="00567C3E"/>
    <w:rPr>
      <w:rFonts w:ascii="Garamond" w:eastAsia="Calibri" w:hAnsi="Garamond" w:cs="Times New Roman"/>
      <w:b/>
      <w:color w:val="4F2D7F"/>
      <w:sz w:val="40"/>
      <w:lang w:eastAsia="pl-PL"/>
    </w:rPr>
  </w:style>
  <w:style w:type="paragraph" w:customStyle="1" w:styleId="ST2">
    <w:name w:val="ST2"/>
    <w:basedOn w:val="S1"/>
    <w:link w:val="ST2Znak"/>
    <w:qFormat/>
    <w:rsid w:val="00567C3E"/>
  </w:style>
  <w:style w:type="character" w:customStyle="1" w:styleId="ST2Znak">
    <w:name w:val="ST2 Znak"/>
    <w:basedOn w:val="S1Znak"/>
    <w:link w:val="ST2"/>
    <w:rsid w:val="00567C3E"/>
    <w:rPr>
      <w:rFonts w:ascii="Garamond" w:eastAsia="Calibri" w:hAnsi="Garamond" w:cs="Times New Roman"/>
      <w:b/>
      <w:color w:val="4F2D7F"/>
      <w:sz w:val="40"/>
      <w:lang w:eastAsia="pl-PL"/>
    </w:rPr>
  </w:style>
  <w:style w:type="paragraph" w:customStyle="1" w:styleId="ST3">
    <w:name w:val="ST3"/>
    <w:basedOn w:val="S2"/>
    <w:link w:val="ST3Znak"/>
    <w:qFormat/>
    <w:rsid w:val="00567C3E"/>
  </w:style>
  <w:style w:type="character" w:customStyle="1" w:styleId="ST3Znak">
    <w:name w:val="ST3 Znak"/>
    <w:basedOn w:val="S2Znak"/>
    <w:link w:val="ST3"/>
    <w:rsid w:val="00567C3E"/>
    <w:rPr>
      <w:rFonts w:ascii="Garamond" w:eastAsia="Calibri" w:hAnsi="Garamond" w:cs="Arial"/>
      <w:b/>
      <w:color w:val="824BB0"/>
      <w:sz w:val="28"/>
      <w:lang w:eastAsia="pl-PL"/>
    </w:rPr>
  </w:style>
  <w:style w:type="character" w:customStyle="1" w:styleId="ListLabel9">
    <w:name w:val="ListLabel 9"/>
    <w:uiPriority w:val="99"/>
    <w:rsid w:val="00567C3E"/>
    <w:rPr>
      <w:rFonts w:ascii="Garamond" w:eastAsia="Times New Roman"/>
      <w:sz w:val="22"/>
    </w:rPr>
  </w:style>
  <w:style w:type="paragraph" w:styleId="Mapadokumentu">
    <w:name w:val="Document Map"/>
    <w:basedOn w:val="Normalny"/>
    <w:link w:val="MapadokumentuZnak"/>
    <w:uiPriority w:val="99"/>
    <w:semiHidden/>
    <w:unhideWhenUsed/>
    <w:rsid w:val="00567C3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67C3E"/>
    <w:rPr>
      <w:rFonts w:ascii="Tahoma" w:eastAsiaTheme="minorEastAsia" w:hAnsi="Tahoma" w:cs="Tahoma"/>
      <w:sz w:val="16"/>
      <w:szCs w:val="16"/>
      <w:lang w:eastAsia="pl-PL"/>
    </w:rPr>
  </w:style>
  <w:style w:type="character" w:styleId="UyteHipercze">
    <w:name w:val="FollowedHyperlink"/>
    <w:basedOn w:val="Domylnaczcionkaakapitu"/>
    <w:uiPriority w:val="99"/>
    <w:semiHidden/>
    <w:unhideWhenUsed/>
    <w:rsid w:val="00567C3E"/>
    <w:rPr>
      <w:color w:val="800080" w:themeColor="followedHyperlink"/>
      <w:u w:val="single"/>
    </w:rPr>
  </w:style>
  <w:style w:type="character" w:styleId="Odwoanieprzypisukocowego">
    <w:name w:val="endnote reference"/>
    <w:basedOn w:val="Domylnaczcionkaakapitu"/>
    <w:uiPriority w:val="99"/>
    <w:semiHidden/>
    <w:unhideWhenUsed/>
    <w:rsid w:val="009C0B93"/>
    <w:rPr>
      <w:vertAlign w:val="superscript"/>
    </w:rPr>
  </w:style>
  <w:style w:type="character" w:customStyle="1" w:styleId="BulletSymbols">
    <w:name w:val="Bullet Symbols"/>
    <w:rsid w:val="0089312C"/>
    <w:rPr>
      <w:rFonts w:ascii="OpenSymbol" w:eastAsia="OpenSymbol" w:hAnsi="OpenSymbol" w:cs="OpenSymbol"/>
    </w:rPr>
  </w:style>
  <w:style w:type="numbering" w:customStyle="1" w:styleId="WWNum3">
    <w:name w:val="WWNum3"/>
    <w:basedOn w:val="Bezlisty"/>
    <w:rsid w:val="0089312C"/>
    <w:pPr>
      <w:numPr>
        <w:numId w:val="1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1.xml"/><Relationship Id="rId39" Type="http://schemas.openxmlformats.org/officeDocument/2006/relationships/chart" Target="charts/chart9.xm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image" Target="media/image12.jpeg"/><Relationship Id="rId47" Type="http://schemas.openxmlformats.org/officeDocument/2006/relationships/oleObject" Target="embeddings/oleObject4.bin"/><Relationship Id="rId50" Type="http://schemas.openxmlformats.org/officeDocument/2006/relationships/image" Target="media/image17.jpeg"/><Relationship Id="rId55" Type="http://schemas.openxmlformats.org/officeDocument/2006/relationships/image" Target="media/image20.png"/><Relationship Id="rId63"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footer" Target="footer1.xml"/><Relationship Id="rId29" Type="http://schemas.openxmlformats.org/officeDocument/2006/relationships/chart" Target="charts/chart4.xml"/><Relationship Id="rId41" Type="http://schemas.openxmlformats.org/officeDocument/2006/relationships/image" Target="media/image11.jpeg"/><Relationship Id="rId54" Type="http://schemas.openxmlformats.org/officeDocument/2006/relationships/oleObject" Target="embeddings/oleObject7.bin"/><Relationship Id="rId62"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oleObject" Target="embeddings/oleObject3.bin"/><Relationship Id="rId53" Type="http://schemas.openxmlformats.org/officeDocument/2006/relationships/image" Target="media/image19.pn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oleObject" Target="embeddings/oleObject1.bin"/><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oleObject" Target="embeddings/oleObject5.bin"/><Relationship Id="rId57" Type="http://schemas.openxmlformats.org/officeDocument/2006/relationships/chart" Target="charts/chart11.xml"/><Relationship Id="rId61" Type="http://schemas.openxmlformats.org/officeDocument/2006/relationships/image" Target="media/image22.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oleObject" Target="embeddings/oleObject6.bin"/><Relationship Id="rId60" Type="http://schemas.openxmlformats.org/officeDocument/2006/relationships/chart" Target="charts/chart1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image" Target="media/image16.png"/><Relationship Id="rId56" Type="http://schemas.openxmlformats.org/officeDocument/2006/relationships/oleObject" Target="embeddings/oleObject8.bin"/><Relationship Id="rId64" Type="http://schemas.openxmlformats.org/officeDocument/2006/relationships/oleObject" Target="embeddings/oleObject11.bin"/><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chart" Target="charts/chart8.xml"/><Relationship Id="rId46" Type="http://schemas.openxmlformats.org/officeDocument/2006/relationships/image" Target="media/image15.png"/><Relationship Id="rId59"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jasieniecka.monika\Moje%20dokumenty\Downloads\DP_20150128_090107.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ykrzykowska.agniesz\Pulpit\ORSG%20Pow.Aleksandrowski\wiek%20w%20powiata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asieniecka.monika\Pulpit\MJ\ORSG%20BRODNICA\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70227996161989"/>
          <c:y val="7.6738281957767942E-4"/>
          <c:w val="0.71067000742392861"/>
          <c:h val="0.90739906251400593"/>
        </c:manualLayout>
      </c:layout>
      <c:barChart>
        <c:barDir val="bar"/>
        <c:grouping val="percentStacked"/>
        <c:varyColors val="0"/>
        <c:ser>
          <c:idx val="0"/>
          <c:order val="0"/>
          <c:tx>
            <c:strRef>
              <c:f>DATA!$O$4</c:f>
              <c:strCache>
                <c:ptCount val="1"/>
                <c:pt idx="0">
                  <c:v>Wiek przedprodukcyjny</c:v>
                </c:pt>
              </c:strCache>
            </c:strRef>
          </c:tx>
          <c:spPr>
            <a:solidFill>
              <a:srgbClr val="824BB0"/>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DATA!$O$6:$O$17</c:f>
              <c:numCache>
                <c:formatCode>0.0%</c:formatCode>
                <c:ptCount val="12"/>
                <c:pt idx="0">
                  <c:v>0.22800000000000153</c:v>
                </c:pt>
                <c:pt idx="1">
                  <c:v>0.21100000000000024</c:v>
                </c:pt>
                <c:pt idx="2">
                  <c:v>0.19700000000000153</c:v>
                </c:pt>
                <c:pt idx="3">
                  <c:v>0.21100000000000024</c:v>
                </c:pt>
                <c:pt idx="4">
                  <c:v>0.23200000000000001</c:v>
                </c:pt>
                <c:pt idx="5">
                  <c:v>0.20400000000000001</c:v>
                </c:pt>
                <c:pt idx="6">
                  <c:v>0.20500000000000004</c:v>
                </c:pt>
                <c:pt idx="7">
                  <c:v>0.21100000000000024</c:v>
                </c:pt>
                <c:pt idx="8">
                  <c:v>0.21400000000000041</c:v>
                </c:pt>
                <c:pt idx="9">
                  <c:v>0.20400000000000001</c:v>
                </c:pt>
                <c:pt idx="10">
                  <c:v>0.20840695500755421</c:v>
                </c:pt>
                <c:pt idx="11">
                  <c:v>0.1853864445723146</c:v>
                </c:pt>
              </c:numCache>
            </c:numRef>
          </c:val>
        </c:ser>
        <c:ser>
          <c:idx val="1"/>
          <c:order val="1"/>
          <c:tx>
            <c:strRef>
              <c:f>DATA!$P$4</c:f>
              <c:strCache>
                <c:ptCount val="1"/>
                <c:pt idx="0">
                  <c:v>Wiek produkcyjny</c:v>
                </c:pt>
              </c:strCache>
            </c:strRef>
          </c:tx>
          <c:spPr>
            <a:solidFill>
              <a:srgbClr val="B1059D"/>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DATA!$P$6:$P$17</c:f>
              <c:numCache>
                <c:formatCode>0.0%</c:formatCode>
                <c:ptCount val="12"/>
                <c:pt idx="0">
                  <c:v>0.62900000000001643</c:v>
                </c:pt>
                <c:pt idx="1">
                  <c:v>0.62900000000001643</c:v>
                </c:pt>
                <c:pt idx="2">
                  <c:v>0.63900000000001766</c:v>
                </c:pt>
                <c:pt idx="3">
                  <c:v>0.62900000000001643</c:v>
                </c:pt>
                <c:pt idx="4">
                  <c:v>0.62100000000001065</c:v>
                </c:pt>
                <c:pt idx="5">
                  <c:v>0.63800000000001755</c:v>
                </c:pt>
                <c:pt idx="6">
                  <c:v>0.63100000000001666</c:v>
                </c:pt>
                <c:pt idx="7">
                  <c:v>0.62400000000001365</c:v>
                </c:pt>
                <c:pt idx="8">
                  <c:v>0.63000000000001655</c:v>
                </c:pt>
                <c:pt idx="9">
                  <c:v>0.64500000000001789</c:v>
                </c:pt>
                <c:pt idx="10">
                  <c:v>0.63700000000001744</c:v>
                </c:pt>
                <c:pt idx="11">
                  <c:v>0.63709831575043863</c:v>
                </c:pt>
              </c:numCache>
            </c:numRef>
          </c:val>
        </c:ser>
        <c:ser>
          <c:idx val="2"/>
          <c:order val="2"/>
          <c:tx>
            <c:strRef>
              <c:f>DATA!$Q$4</c:f>
              <c:strCache>
                <c:ptCount val="1"/>
                <c:pt idx="0">
                  <c:v>Wiek poprodukcyjny</c:v>
                </c:pt>
              </c:strCache>
            </c:strRef>
          </c:tx>
          <c:spPr>
            <a:solidFill>
              <a:srgbClr val="C30045"/>
            </a:solidFill>
            <a:ln>
              <a:solidFill>
                <a:sysClr val="windowText" lastClr="000000"/>
              </a:solidFill>
            </a:ln>
          </c:spPr>
          <c:invertIfNegative val="0"/>
          <c:dLbls>
            <c:spPr>
              <a:noFill/>
              <a:ln>
                <a:noFill/>
              </a:ln>
              <a:effectLst/>
            </c:spPr>
            <c:txPr>
              <a:bodyPr/>
              <a:lstStyle/>
              <a:p>
                <a:pPr>
                  <a:defRPr sz="800">
                    <a:solidFill>
                      <a:schemeClr val="bg1"/>
                    </a:solidFill>
                    <a:latin typeface="Garamond" pitchFamily="18"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DATA!$N$6:$N$17</c:f>
              <c:strCache>
                <c:ptCount val="12"/>
                <c:pt idx="0">
                  <c:v>Bartniczka</c:v>
                </c:pt>
                <c:pt idx="1">
                  <c:v>Bobrowo</c:v>
                </c:pt>
                <c:pt idx="2">
                  <c:v>Brodnica g.m.</c:v>
                </c:pt>
                <c:pt idx="3">
                  <c:v>Brodnica g.w.</c:v>
                </c:pt>
                <c:pt idx="4">
                  <c:v>Brzozie</c:v>
                </c:pt>
                <c:pt idx="5">
                  <c:v>Górzno</c:v>
                </c:pt>
                <c:pt idx="6">
                  <c:v>Jabłonowo-Pomorskie</c:v>
                </c:pt>
                <c:pt idx="7">
                  <c:v>Osiek</c:v>
                </c:pt>
                <c:pt idx="8">
                  <c:v>Świedziebnia</c:v>
                </c:pt>
                <c:pt idx="9">
                  <c:v>Zbiczno</c:v>
                </c:pt>
                <c:pt idx="10">
                  <c:v>ORSG</c:v>
                </c:pt>
                <c:pt idx="11">
                  <c:v>Kujawsko-Pomorskie</c:v>
                </c:pt>
              </c:strCache>
            </c:strRef>
          </c:cat>
          <c:val>
            <c:numRef>
              <c:f>DATA!$Q$6:$Q$17</c:f>
              <c:numCache>
                <c:formatCode>0.0%</c:formatCode>
                <c:ptCount val="12"/>
                <c:pt idx="0">
                  <c:v>0.14400000000000004</c:v>
                </c:pt>
                <c:pt idx="1">
                  <c:v>0.16000000000000134</c:v>
                </c:pt>
                <c:pt idx="2">
                  <c:v>0.16400000000000153</c:v>
                </c:pt>
                <c:pt idx="3">
                  <c:v>0.16000000000000134</c:v>
                </c:pt>
                <c:pt idx="4">
                  <c:v>0.14700000000000021</c:v>
                </c:pt>
                <c:pt idx="5">
                  <c:v>0.15800000000000144</c:v>
                </c:pt>
                <c:pt idx="6">
                  <c:v>0.16400000000000153</c:v>
                </c:pt>
                <c:pt idx="7">
                  <c:v>0.16500000000000153</c:v>
                </c:pt>
                <c:pt idx="8">
                  <c:v>0.15600000000000044</c:v>
                </c:pt>
                <c:pt idx="9">
                  <c:v>0.15100000000000041</c:v>
                </c:pt>
                <c:pt idx="10">
                  <c:v>0.15514327417991874</c:v>
                </c:pt>
                <c:pt idx="11">
                  <c:v>0.17751523967726554</c:v>
                </c:pt>
              </c:numCache>
            </c:numRef>
          </c:val>
        </c:ser>
        <c:dLbls>
          <c:showLegendKey val="0"/>
          <c:showVal val="1"/>
          <c:showCatName val="0"/>
          <c:showSerName val="0"/>
          <c:showPercent val="0"/>
          <c:showBubbleSize val="0"/>
        </c:dLbls>
        <c:gapWidth val="150"/>
        <c:overlap val="100"/>
        <c:axId val="160563200"/>
        <c:axId val="160564736"/>
      </c:barChart>
      <c:catAx>
        <c:axId val="160563200"/>
        <c:scaling>
          <c:orientation val="maxMin"/>
        </c:scaling>
        <c:delete val="0"/>
        <c:axPos val="l"/>
        <c:numFmt formatCode="General" sourceLinked="0"/>
        <c:majorTickMark val="none"/>
        <c:minorTickMark val="none"/>
        <c:tickLblPos val="nextTo"/>
        <c:txPr>
          <a:bodyPr/>
          <a:lstStyle/>
          <a:p>
            <a:pPr>
              <a:defRPr sz="800">
                <a:latin typeface="Garamond" pitchFamily="18" charset="0"/>
              </a:defRPr>
            </a:pPr>
            <a:endParaRPr lang="pl-PL"/>
          </a:p>
        </c:txPr>
        <c:crossAx val="160564736"/>
        <c:crosses val="autoZero"/>
        <c:auto val="1"/>
        <c:lblAlgn val="ctr"/>
        <c:lblOffset val="100"/>
        <c:noMultiLvlLbl val="0"/>
      </c:catAx>
      <c:valAx>
        <c:axId val="160564736"/>
        <c:scaling>
          <c:orientation val="minMax"/>
        </c:scaling>
        <c:delete val="1"/>
        <c:axPos val="t"/>
        <c:numFmt formatCode="0%" sourceLinked="1"/>
        <c:majorTickMark val="none"/>
        <c:minorTickMark val="none"/>
        <c:tickLblPos val="none"/>
        <c:crossAx val="160563200"/>
        <c:crosses val="autoZero"/>
        <c:crossBetween val="between"/>
      </c:valAx>
    </c:plotArea>
    <c:legend>
      <c:legendPos val="r"/>
      <c:layout>
        <c:manualLayout>
          <c:xMode val="edge"/>
          <c:yMode val="edge"/>
          <c:x val="0.11145966965393395"/>
          <c:y val="0.91077727751093962"/>
          <c:w val="0.8607624671916011"/>
          <c:h val="8.9209854944897748E-2"/>
        </c:manualLayout>
      </c:layout>
      <c:overlay val="0"/>
      <c:txPr>
        <a:bodyPr/>
        <a:lstStyle/>
        <a:p>
          <a:pPr>
            <a:defRPr sz="800">
              <a:latin typeface="Garamond" pitchFamily="18" charset="0"/>
            </a:defRPr>
          </a:pPr>
          <a:endParaRPr lang="pl-PL"/>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603011658842581E-2"/>
          <c:y val="2.2228692650056156E-2"/>
          <c:w val="0.46033516040069083"/>
          <c:h val="0.95291181486529164"/>
        </c:manualLayout>
      </c:layout>
      <c:doughnutChart>
        <c:varyColors val="1"/>
        <c:ser>
          <c:idx val="1"/>
          <c:order val="0"/>
          <c:spPr>
            <a:ln>
              <a:solidFill>
                <a:sysClr val="windowText" lastClr="000000"/>
              </a:solidFill>
            </a:ln>
          </c:spPr>
          <c:dPt>
            <c:idx val="0"/>
            <c:bubble3D val="0"/>
            <c:spPr>
              <a:solidFill>
                <a:srgbClr val="9F7E96"/>
              </a:solidFill>
              <a:ln>
                <a:solidFill>
                  <a:sysClr val="windowText" lastClr="000000"/>
                </a:solidFill>
              </a:ln>
            </c:spPr>
          </c:dPt>
          <c:dPt>
            <c:idx val="1"/>
            <c:bubble3D val="0"/>
            <c:spPr>
              <a:solidFill>
                <a:srgbClr val="895B5B"/>
              </a:solidFill>
              <a:ln>
                <a:solidFill>
                  <a:sysClr val="windowText" lastClr="000000"/>
                </a:solidFill>
              </a:ln>
            </c:spPr>
          </c:dPt>
          <c:dPt>
            <c:idx val="2"/>
            <c:bubble3D val="0"/>
            <c:spPr>
              <a:solidFill>
                <a:srgbClr val="882345"/>
              </a:solidFill>
              <a:ln>
                <a:solidFill>
                  <a:sysClr val="windowText" lastClr="000000"/>
                </a:solidFill>
              </a:ln>
            </c:spPr>
          </c:dPt>
          <c:dPt>
            <c:idx val="3"/>
            <c:bubble3D val="0"/>
            <c:spPr>
              <a:solidFill>
                <a:srgbClr val="C30045"/>
              </a:solidFill>
              <a:ln>
                <a:solidFill>
                  <a:sysClr val="windowText" lastClr="000000"/>
                </a:solidFill>
              </a:ln>
            </c:spPr>
          </c:dPt>
          <c:dPt>
            <c:idx val="4"/>
            <c:bubble3D val="0"/>
            <c:spPr>
              <a:solidFill>
                <a:srgbClr val="FEA6C5"/>
              </a:solidFill>
              <a:ln>
                <a:solidFill>
                  <a:sysClr val="windowText" lastClr="000000"/>
                </a:solidFill>
              </a:ln>
            </c:spPr>
          </c:dPt>
          <c:dPt>
            <c:idx val="5"/>
            <c:bubble3D val="0"/>
            <c:spPr>
              <a:solidFill>
                <a:srgbClr val="824BB0"/>
              </a:solidFill>
              <a:ln>
                <a:solidFill>
                  <a:sysClr val="windowText" lastClr="000000"/>
                </a:solidFill>
              </a:ln>
            </c:spPr>
          </c:dPt>
          <c:dPt>
            <c:idx val="6"/>
            <c:bubble3D val="0"/>
            <c:spPr>
              <a:solidFill>
                <a:srgbClr val="4F2D7F"/>
              </a:solidFill>
              <a:ln>
                <a:solidFill>
                  <a:sysClr val="windowText" lastClr="000000"/>
                </a:solidFill>
              </a:ln>
            </c:spPr>
          </c:dPt>
          <c:dPt>
            <c:idx val="7"/>
            <c:bubble3D val="0"/>
            <c:spPr>
              <a:solidFill>
                <a:srgbClr val="D8CFBF"/>
              </a:solidFill>
              <a:ln>
                <a:solidFill>
                  <a:sysClr val="windowText" lastClr="000000"/>
                </a:solidFill>
              </a:ln>
            </c:spPr>
          </c:dPt>
          <c:dPt>
            <c:idx val="8"/>
            <c:bubble3D val="0"/>
            <c:spPr>
              <a:solidFill>
                <a:srgbClr val="C6B19E"/>
              </a:solidFill>
              <a:ln>
                <a:solidFill>
                  <a:sysClr val="windowText" lastClr="000000"/>
                </a:solidFill>
              </a:ln>
            </c:spPr>
          </c:dPt>
          <c:dPt>
            <c:idx val="9"/>
            <c:bubble3D val="0"/>
            <c:spPr>
              <a:solidFill>
                <a:srgbClr val="B1059D"/>
              </a:solidFill>
              <a:ln>
                <a:solidFill>
                  <a:sysClr val="windowText" lastClr="000000"/>
                </a:solidFill>
              </a:ln>
            </c:spPr>
          </c:dPt>
          <c:dLbls>
            <c:spPr>
              <a:noFill/>
              <a:ln>
                <a:noFill/>
              </a:ln>
              <a:effectLst/>
            </c:spPr>
            <c:txPr>
              <a:bodyPr/>
              <a:lstStyle/>
              <a:p>
                <a:pPr>
                  <a:defRPr sz="800">
                    <a:latin typeface="Garamond"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Arkusz5!$B$2:$B$12</c:f>
              <c:strCache>
                <c:ptCount val="11"/>
                <c:pt idx="0">
                  <c:v>brak rynków zbytu</c:v>
                </c:pt>
                <c:pt idx="1">
                  <c:v>ograniczony dostęp do środków finansowych</c:v>
                </c:pt>
                <c:pt idx="2">
                  <c:v>brak pracowników o odpowiednich kwalifikacjach </c:v>
                </c:pt>
                <c:pt idx="3">
                  <c:v>niska rentowność</c:v>
                </c:pt>
                <c:pt idx="4">
                  <c:v>brak terenów inwestycyjnych </c:v>
                </c:pt>
                <c:pt idx="5">
                  <c:v>wysokie koszty pracy</c:v>
                </c:pt>
                <c:pt idx="6">
                  <c:v>biurokracja centralna</c:v>
                </c:pt>
                <c:pt idx="7">
                  <c:v>biurokracja lokalna</c:v>
                </c:pt>
                <c:pt idx="8">
                  <c:v>brak miejscowych planów zagospodarowania przestrzennego</c:v>
                </c:pt>
                <c:pt idx="9">
                  <c:v>braki w infrastrukturze lokalnej</c:v>
                </c:pt>
                <c:pt idx="10">
                  <c:v>braki w infrastrukturze przedsiębiorstwa</c:v>
                </c:pt>
              </c:strCache>
            </c:strRef>
          </c:cat>
          <c:val>
            <c:numRef>
              <c:f>Arkusz5!$D$2:$D$12</c:f>
              <c:numCache>
                <c:formatCode>0.0%</c:formatCode>
                <c:ptCount val="11"/>
                <c:pt idx="0">
                  <c:v>0.14444444444444896</c:v>
                </c:pt>
                <c:pt idx="1">
                  <c:v>0.12222222222222465</c:v>
                </c:pt>
                <c:pt idx="2">
                  <c:v>8.8888888888889767E-2</c:v>
                </c:pt>
                <c:pt idx="3">
                  <c:v>3.333333333333334E-2</c:v>
                </c:pt>
                <c:pt idx="4">
                  <c:v>4.4444444444444502E-2</c:v>
                </c:pt>
                <c:pt idx="5">
                  <c:v>0.28888888888889747</c:v>
                </c:pt>
                <c:pt idx="6">
                  <c:v>0.1</c:v>
                </c:pt>
                <c:pt idx="7">
                  <c:v>4.4444444444444502E-2</c:v>
                </c:pt>
                <c:pt idx="8">
                  <c:v>2.2222222222222251E-2</c:v>
                </c:pt>
                <c:pt idx="9">
                  <c:v>7.7777777777777779E-2</c:v>
                </c:pt>
                <c:pt idx="10">
                  <c:v>3.333333333333334E-2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33062737449979"/>
          <c:y val="1.53752657981093E-2"/>
          <c:w val="0.43172175686011"/>
          <c:h val="0.97915491788822862"/>
        </c:manualLayout>
      </c:layout>
      <c:overlay val="0"/>
      <c:txPr>
        <a:bodyPr/>
        <a:lstStyle/>
        <a:p>
          <a:pPr rtl="0">
            <a:defRPr sz="800">
              <a:latin typeface="Garamond" pitchFamily="18"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DATA!$G$4:$G$13</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DATA!$H$4:$H$13</c:f>
              <c:numCache>
                <c:formatCode>0.0%</c:formatCode>
                <c:ptCount val="10"/>
                <c:pt idx="0">
                  <c:v>0.16235011990407267</c:v>
                </c:pt>
                <c:pt idx="1">
                  <c:v>8.5806318963744868E-2</c:v>
                </c:pt>
                <c:pt idx="2">
                  <c:v>8.2937365010800748E-2</c:v>
                </c:pt>
                <c:pt idx="3">
                  <c:v>0.18696303302594214</c:v>
                </c:pt>
                <c:pt idx="4">
                  <c:v>0.1399743754003844</c:v>
                </c:pt>
                <c:pt idx="5">
                  <c:v>0.51504010695187163</c:v>
                </c:pt>
                <c:pt idx="6">
                  <c:v>0.10677739878392407</c:v>
                </c:pt>
                <c:pt idx="7">
                  <c:v>8.4800000000000028E-2</c:v>
                </c:pt>
                <c:pt idx="8">
                  <c:v>0.17816147390759141</c:v>
                </c:pt>
                <c:pt idx="9">
                  <c:v>0.43126261493608431</c:v>
                </c:pt>
              </c:numCache>
            </c:numRef>
          </c:val>
        </c:ser>
        <c:dLbls>
          <c:showLegendKey val="0"/>
          <c:showVal val="1"/>
          <c:showCatName val="0"/>
          <c:showSerName val="0"/>
          <c:showPercent val="0"/>
          <c:showBubbleSize val="0"/>
        </c:dLbls>
        <c:gapWidth val="150"/>
        <c:axId val="161928320"/>
        <c:axId val="162041216"/>
      </c:barChart>
      <c:catAx>
        <c:axId val="161928320"/>
        <c:scaling>
          <c:orientation val="minMax"/>
        </c:scaling>
        <c:delete val="0"/>
        <c:axPos val="b"/>
        <c:numFmt formatCode="General" sourceLinked="0"/>
        <c:majorTickMark val="out"/>
        <c:minorTickMark val="none"/>
        <c:tickLblPos val="nextTo"/>
        <c:crossAx val="162041216"/>
        <c:crosses val="autoZero"/>
        <c:auto val="1"/>
        <c:lblAlgn val="ctr"/>
        <c:lblOffset val="100"/>
        <c:noMultiLvlLbl val="0"/>
      </c:catAx>
      <c:valAx>
        <c:axId val="162041216"/>
        <c:scaling>
          <c:orientation val="minMax"/>
        </c:scaling>
        <c:delete val="1"/>
        <c:axPos val="l"/>
        <c:numFmt formatCode="0.0%" sourceLinked="1"/>
        <c:majorTickMark val="out"/>
        <c:minorTickMark val="none"/>
        <c:tickLblPos val="none"/>
        <c:crossAx val="161928320"/>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16963928168541"/>
          <c:y val="3.0459762533772652E-2"/>
          <c:w val="0.64462719310900995"/>
          <c:h val="0.94415710202141701"/>
        </c:manualLayout>
      </c:layout>
      <c:barChart>
        <c:barDir val="bar"/>
        <c:grouping val="clustered"/>
        <c:varyColors val="0"/>
        <c:ser>
          <c:idx val="0"/>
          <c:order val="0"/>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'wod-kan'!$F$22:$F$31</c:f>
              <c:strCache>
                <c:ptCount val="10"/>
                <c:pt idx="0">
                  <c:v>Bartniczka</c:v>
                </c:pt>
                <c:pt idx="1">
                  <c:v>Bobrowo</c:v>
                </c:pt>
                <c:pt idx="2">
                  <c:v>Brodnica g.m.</c:v>
                </c:pt>
                <c:pt idx="3">
                  <c:v>Brodnica g.w.</c:v>
                </c:pt>
                <c:pt idx="4">
                  <c:v>Brzozie</c:v>
                </c:pt>
                <c:pt idx="5">
                  <c:v>Górzno</c:v>
                </c:pt>
                <c:pt idx="6">
                  <c:v>Jabłonowo-Pomorskie</c:v>
                </c:pt>
                <c:pt idx="7">
                  <c:v>Osiek</c:v>
                </c:pt>
                <c:pt idx="8">
                  <c:v>Świedziebnia</c:v>
                </c:pt>
                <c:pt idx="9">
                  <c:v>Zbiczno</c:v>
                </c:pt>
              </c:strCache>
            </c:strRef>
          </c:cat>
          <c:val>
            <c:numRef>
              <c:f>'wod-kan'!$G$22:$G$31</c:f>
              <c:numCache>
                <c:formatCode>General</c:formatCode>
                <c:ptCount val="10"/>
                <c:pt idx="0">
                  <c:v>6.3599999999999985</c:v>
                </c:pt>
                <c:pt idx="1">
                  <c:v>11.2</c:v>
                </c:pt>
                <c:pt idx="2">
                  <c:v>3.51</c:v>
                </c:pt>
                <c:pt idx="3">
                  <c:v>12.1</c:v>
                </c:pt>
                <c:pt idx="4">
                  <c:v>16.02</c:v>
                </c:pt>
                <c:pt idx="5">
                  <c:v>0</c:v>
                </c:pt>
                <c:pt idx="6">
                  <c:v>0</c:v>
                </c:pt>
                <c:pt idx="7">
                  <c:v>0</c:v>
                </c:pt>
                <c:pt idx="8">
                  <c:v>3.84</c:v>
                </c:pt>
                <c:pt idx="9">
                  <c:v>0</c:v>
                </c:pt>
              </c:numCache>
            </c:numRef>
          </c:val>
        </c:ser>
        <c:dLbls>
          <c:showLegendKey val="0"/>
          <c:showVal val="1"/>
          <c:showCatName val="0"/>
          <c:showSerName val="0"/>
          <c:showPercent val="0"/>
          <c:showBubbleSize val="0"/>
        </c:dLbls>
        <c:gapWidth val="150"/>
        <c:axId val="162060928"/>
        <c:axId val="163140352"/>
      </c:barChart>
      <c:catAx>
        <c:axId val="162060928"/>
        <c:scaling>
          <c:orientation val="maxMin"/>
        </c:scaling>
        <c:delete val="0"/>
        <c:axPos val="l"/>
        <c:numFmt formatCode="General" sourceLinked="0"/>
        <c:majorTickMark val="out"/>
        <c:minorTickMark val="none"/>
        <c:tickLblPos val="nextTo"/>
        <c:crossAx val="163140352"/>
        <c:crosses val="autoZero"/>
        <c:auto val="1"/>
        <c:lblAlgn val="ctr"/>
        <c:lblOffset val="100"/>
        <c:noMultiLvlLbl val="0"/>
      </c:catAx>
      <c:valAx>
        <c:axId val="163140352"/>
        <c:scaling>
          <c:orientation val="minMax"/>
        </c:scaling>
        <c:delete val="1"/>
        <c:axPos val="t"/>
        <c:numFmt formatCode="General" sourceLinked="1"/>
        <c:majorTickMark val="out"/>
        <c:minorTickMark val="none"/>
        <c:tickLblPos val="none"/>
        <c:crossAx val="162060928"/>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05733874922529"/>
          <c:y val="1.2698412698412705E-2"/>
          <c:w val="0.82370803532049752"/>
          <c:h val="0.9265777777777775"/>
        </c:manualLayout>
      </c:layout>
      <c:barChart>
        <c:barDir val="bar"/>
        <c:grouping val="stacked"/>
        <c:varyColors val="0"/>
        <c:ser>
          <c:idx val="0"/>
          <c:order val="0"/>
          <c:tx>
            <c:strRef>
              <c:f>DATA!$C$32</c:f>
              <c:strCache>
                <c:ptCount val="1"/>
                <c:pt idx="0">
                  <c:v>wiek przedprodukcyjny</c:v>
                </c:pt>
              </c:strCache>
            </c:strRef>
          </c:tx>
          <c:spPr>
            <a:solidFill>
              <a:srgbClr val="4F2D7F"/>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DATA!$C$33:$C$55</c:f>
              <c:numCache>
                <c:formatCode>0.0%</c:formatCode>
                <c:ptCount val="23"/>
                <c:pt idx="0">
                  <c:v>0.20805663450695441</c:v>
                </c:pt>
                <c:pt idx="1">
                  <c:v>0.21724235809997464</c:v>
                </c:pt>
                <c:pt idx="2">
                  <c:v>0.15695424602686531</c:v>
                </c:pt>
                <c:pt idx="3">
                  <c:v>0.16431053662666495</c:v>
                </c:pt>
                <c:pt idx="4">
                  <c:v>0.20607931425947421</c:v>
                </c:pt>
                <c:pt idx="5">
                  <c:v>0.19699765977282768</c:v>
                </c:pt>
                <c:pt idx="6">
                  <c:v>0.20047974296340321</c:v>
                </c:pt>
                <c:pt idx="7">
                  <c:v>0.21138110279304598</c:v>
                </c:pt>
                <c:pt idx="8">
                  <c:v>0.20357710269125223</c:v>
                </c:pt>
                <c:pt idx="9">
                  <c:v>0.19517886471978449</c:v>
                </c:pt>
                <c:pt idx="10">
                  <c:v>0.20803621256278368</c:v>
                </c:pt>
                <c:pt idx="11">
                  <c:v>0.19396390968815447</c:v>
                </c:pt>
                <c:pt idx="12">
                  <c:v>0.17462130567218243</c:v>
                </c:pt>
                <c:pt idx="13">
                  <c:v>0.17971316257112749</c:v>
                </c:pt>
                <c:pt idx="14">
                  <c:v>0.17192201854541694</c:v>
                </c:pt>
                <c:pt idx="15">
                  <c:v>0.20563535746781841</c:v>
                </c:pt>
                <c:pt idx="16">
                  <c:v>0.18723064988795127</c:v>
                </c:pt>
                <c:pt idx="17">
                  <c:v>0.2015045550749977</c:v>
                </c:pt>
                <c:pt idx="18">
                  <c:v>0.17588532883642594</c:v>
                </c:pt>
                <c:pt idx="19">
                  <c:v>0.19869210785631164</c:v>
                </c:pt>
                <c:pt idx="20">
                  <c:v>0.18557983619210108</c:v>
                </c:pt>
                <c:pt idx="21">
                  <c:v>0.19132624193730904</c:v>
                </c:pt>
                <c:pt idx="22">
                  <c:v>0.1623061462712504</c:v>
                </c:pt>
              </c:numCache>
            </c:numRef>
          </c:val>
        </c:ser>
        <c:ser>
          <c:idx val="1"/>
          <c:order val="1"/>
          <c:tx>
            <c:strRef>
              <c:f>DATA!$D$32</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DATA!$D$33:$D$55</c:f>
              <c:numCache>
                <c:formatCode>0.0%</c:formatCode>
                <c:ptCount val="23"/>
                <c:pt idx="0">
                  <c:v>0.64608803050101427</c:v>
                </c:pt>
                <c:pt idx="1">
                  <c:v>0.64340736245559038</c:v>
                </c:pt>
                <c:pt idx="2">
                  <c:v>0.61938140986210055</c:v>
                </c:pt>
                <c:pt idx="3">
                  <c:v>0.63292609692948765</c:v>
                </c:pt>
                <c:pt idx="4">
                  <c:v>0.63364669566438014</c:v>
                </c:pt>
                <c:pt idx="5">
                  <c:v>0.63794973268137378</c:v>
                </c:pt>
                <c:pt idx="6">
                  <c:v>0.63491120353865749</c:v>
                </c:pt>
                <c:pt idx="7">
                  <c:v>0.63628223941104778</c:v>
                </c:pt>
                <c:pt idx="8">
                  <c:v>0.6287371816474896</c:v>
                </c:pt>
                <c:pt idx="9">
                  <c:v>0.63913592116332174</c:v>
                </c:pt>
                <c:pt idx="10">
                  <c:v>0.63289307786114635</c:v>
                </c:pt>
                <c:pt idx="11">
                  <c:v>0.63327308718478659</c:v>
                </c:pt>
                <c:pt idx="12">
                  <c:v>0.62229357042891265</c:v>
                </c:pt>
                <c:pt idx="13">
                  <c:v>0.62759598642996894</c:v>
                </c:pt>
                <c:pt idx="14">
                  <c:v>0.64289960592522011</c:v>
                </c:pt>
                <c:pt idx="15">
                  <c:v>0.63502931042198396</c:v>
                </c:pt>
                <c:pt idx="16">
                  <c:v>0.63659282882261659</c:v>
                </c:pt>
                <c:pt idx="17">
                  <c:v>0.63887227385663015</c:v>
                </c:pt>
                <c:pt idx="18">
                  <c:v>0.6370754035172278</c:v>
                </c:pt>
                <c:pt idx="19">
                  <c:v>0.62597420048374508</c:v>
                </c:pt>
                <c:pt idx="20">
                  <c:v>0.63841306776947093</c:v>
                </c:pt>
                <c:pt idx="21">
                  <c:v>0.63320414167703976</c:v>
                </c:pt>
                <c:pt idx="22">
                  <c:v>0.62381625255619699</c:v>
                </c:pt>
              </c:numCache>
            </c:numRef>
          </c:val>
        </c:ser>
        <c:ser>
          <c:idx val="2"/>
          <c:order val="2"/>
          <c:tx>
            <c:strRef>
              <c:f>DATA!$E$32</c:f>
              <c:strCache>
                <c:ptCount val="1"/>
                <c:pt idx="0">
                  <c:v>wiek poprodukcyjny</c:v>
                </c:pt>
              </c:strCache>
            </c:strRef>
          </c:tx>
          <c:spPr>
            <a:solidFill>
              <a:srgbClr val="B1059D"/>
            </a:solidFill>
            <a:ln>
              <a:solidFill>
                <a:schemeClr val="tx1"/>
              </a:solidFill>
            </a:ln>
          </c:spPr>
          <c:invertIfNegative val="0"/>
          <c:dLbls>
            <c:spPr>
              <a:noFill/>
              <a:ln>
                <a:noFill/>
              </a:ln>
              <a:effectLst/>
            </c:spPr>
            <c:txPr>
              <a:bodyPr/>
              <a:lstStyle/>
              <a:p>
                <a:pPr>
                  <a:defRPr sz="900" b="1">
                    <a:solidFill>
                      <a:schemeClr val="bg1"/>
                    </a:solidFill>
                    <a:latin typeface="Garamond"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DATA!$B$33:$B$55</c:f>
              <c:strCache>
                <c:ptCount val="23"/>
                <c:pt idx="0">
                  <c:v>Powiat bydgoski</c:v>
                </c:pt>
                <c:pt idx="1">
                  <c:v>Powiat toruński</c:v>
                </c:pt>
                <c:pt idx="2">
                  <c:v>Powiat m.Bydgoszcz</c:v>
                </c:pt>
                <c:pt idx="3">
                  <c:v>Powiat m.Toruń</c:v>
                </c:pt>
                <c:pt idx="4">
                  <c:v>Powiat brodnicki</c:v>
                </c:pt>
                <c:pt idx="5">
                  <c:v>Powiat chełmiński</c:v>
                </c:pt>
                <c:pt idx="6">
                  <c:v>Powiat golubsko-dobrzyński</c:v>
                </c:pt>
                <c:pt idx="7">
                  <c:v>Powiat grudziądzki</c:v>
                </c:pt>
                <c:pt idx="8">
                  <c:v>Powiat sępoleński</c:v>
                </c:pt>
                <c:pt idx="9">
                  <c:v>Powiat świecki</c:v>
                </c:pt>
                <c:pt idx="10">
                  <c:v>Powiat tucholski</c:v>
                </c:pt>
                <c:pt idx="11">
                  <c:v>Powiat wąbrzeski</c:v>
                </c:pt>
                <c:pt idx="12">
                  <c:v>Powiat m.Grudziądz</c:v>
                </c:pt>
                <c:pt idx="13">
                  <c:v>Powiat aleksandrowski</c:v>
                </c:pt>
                <c:pt idx="14">
                  <c:v>Powiat inowrocławski</c:v>
                </c:pt>
                <c:pt idx="15">
                  <c:v>Powiat lipnowski</c:v>
                </c:pt>
                <c:pt idx="16">
                  <c:v>Powiat mogileński</c:v>
                </c:pt>
                <c:pt idx="17">
                  <c:v>Powiat nakielski</c:v>
                </c:pt>
                <c:pt idx="18">
                  <c:v>Powiat radziejowski</c:v>
                </c:pt>
                <c:pt idx="19">
                  <c:v>Powiat rypiński</c:v>
                </c:pt>
                <c:pt idx="20">
                  <c:v>Powiat włocławski</c:v>
                </c:pt>
                <c:pt idx="21">
                  <c:v>Powiat żniński</c:v>
                </c:pt>
                <c:pt idx="22">
                  <c:v>Powiat m.Włocławek</c:v>
                </c:pt>
              </c:strCache>
            </c:strRef>
          </c:cat>
          <c:val>
            <c:numRef>
              <c:f>DATA!$E$33:$E$55</c:f>
              <c:numCache>
                <c:formatCode>0.0%</c:formatCode>
                <c:ptCount val="23"/>
                <c:pt idx="0">
                  <c:v>0.14585533499203546</c:v>
                </c:pt>
                <c:pt idx="1">
                  <c:v>0.13935027944443901</c:v>
                </c:pt>
                <c:pt idx="2">
                  <c:v>0.22366434411103592</c:v>
                </c:pt>
                <c:pt idx="3">
                  <c:v>0.20276336644385159</c:v>
                </c:pt>
                <c:pt idx="4">
                  <c:v>0.1602739900761509</c:v>
                </c:pt>
                <c:pt idx="5">
                  <c:v>0.1650526075458057</c:v>
                </c:pt>
                <c:pt idx="6">
                  <c:v>0.16460905349794241</c:v>
                </c:pt>
                <c:pt idx="7">
                  <c:v>0.15233665779590624</c:v>
                </c:pt>
                <c:pt idx="8">
                  <c:v>0.16768571566125837</c:v>
                </c:pt>
                <c:pt idx="9">
                  <c:v>0.16568521411689299</c:v>
                </c:pt>
                <c:pt idx="10">
                  <c:v>0.15907070957607344</c:v>
                </c:pt>
                <c:pt idx="11">
                  <c:v>0.17276300312706308</c:v>
                </c:pt>
                <c:pt idx="12">
                  <c:v>0.20308512389890521</c:v>
                </c:pt>
                <c:pt idx="13">
                  <c:v>0.19269085099890507</c:v>
                </c:pt>
                <c:pt idx="14">
                  <c:v>0.18517837552936625</c:v>
                </c:pt>
                <c:pt idx="15">
                  <c:v>0.15933533211020251</c:v>
                </c:pt>
                <c:pt idx="16">
                  <c:v>0.17617652128943287</c:v>
                </c:pt>
                <c:pt idx="17">
                  <c:v>0.1596231710683722</c:v>
                </c:pt>
                <c:pt idx="18">
                  <c:v>0.18703926764635107</c:v>
                </c:pt>
                <c:pt idx="19">
                  <c:v>0.17533369165994805</c:v>
                </c:pt>
                <c:pt idx="20">
                  <c:v>0.17600709603842998</c:v>
                </c:pt>
                <c:pt idx="21">
                  <c:v>0.17546961638565123</c:v>
                </c:pt>
                <c:pt idx="22">
                  <c:v>0.21387760117255725</c:v>
                </c:pt>
              </c:numCache>
            </c:numRef>
          </c:val>
        </c:ser>
        <c:dLbls>
          <c:showLegendKey val="0"/>
          <c:showVal val="0"/>
          <c:showCatName val="0"/>
          <c:showSerName val="0"/>
          <c:showPercent val="0"/>
          <c:showBubbleSize val="0"/>
        </c:dLbls>
        <c:gapWidth val="150"/>
        <c:overlap val="100"/>
        <c:axId val="160633600"/>
        <c:axId val="160635136"/>
      </c:barChart>
      <c:catAx>
        <c:axId val="160633600"/>
        <c:scaling>
          <c:orientation val="minMax"/>
        </c:scaling>
        <c:delete val="0"/>
        <c:axPos val="l"/>
        <c:numFmt formatCode="General" sourceLinked="0"/>
        <c:majorTickMark val="out"/>
        <c:minorTickMark val="none"/>
        <c:tickLblPos val="nextTo"/>
        <c:txPr>
          <a:bodyPr/>
          <a:lstStyle/>
          <a:p>
            <a:pPr>
              <a:defRPr sz="800">
                <a:solidFill>
                  <a:sysClr val="windowText" lastClr="000000"/>
                </a:solidFill>
                <a:latin typeface="Garamond" pitchFamily="18" charset="0"/>
              </a:defRPr>
            </a:pPr>
            <a:endParaRPr lang="pl-PL"/>
          </a:p>
        </c:txPr>
        <c:crossAx val="160635136"/>
        <c:crosses val="autoZero"/>
        <c:auto val="1"/>
        <c:lblAlgn val="ctr"/>
        <c:lblOffset val="100"/>
        <c:noMultiLvlLbl val="0"/>
      </c:catAx>
      <c:valAx>
        <c:axId val="160635136"/>
        <c:scaling>
          <c:orientation val="minMax"/>
        </c:scaling>
        <c:delete val="1"/>
        <c:axPos val="b"/>
        <c:numFmt formatCode="0.0%" sourceLinked="1"/>
        <c:majorTickMark val="out"/>
        <c:minorTickMark val="none"/>
        <c:tickLblPos val="none"/>
        <c:crossAx val="160633600"/>
        <c:crosses val="autoZero"/>
        <c:crossBetween val="between"/>
      </c:valAx>
    </c:plotArea>
    <c:legend>
      <c:legendPos val="b"/>
      <c:overlay val="0"/>
      <c:txPr>
        <a:bodyPr/>
        <a:lstStyle/>
        <a:p>
          <a:pPr>
            <a:defRPr sz="800">
              <a:solidFill>
                <a:sysClr val="windowText" lastClr="000000"/>
              </a:solidFill>
              <a:latin typeface="Garamond" pitchFamily="18"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6999125109534E-2"/>
          <c:y val="1.6826873250120208E-2"/>
          <c:w val="0.85035411198600153"/>
          <c:h val="0.8595727432060305"/>
        </c:manualLayout>
      </c:layout>
      <c:barChart>
        <c:barDir val="bar"/>
        <c:grouping val="stacked"/>
        <c:varyColors val="0"/>
        <c:ser>
          <c:idx val="0"/>
          <c:order val="0"/>
          <c:tx>
            <c:strRef>
              <c:f>Nadwyżka!$I$29</c:f>
              <c:strCache>
                <c:ptCount val="1"/>
                <c:pt idx="0">
                  <c:v>Liczba mężczyzn</c:v>
                </c:pt>
              </c:strCache>
            </c:strRef>
          </c:tx>
          <c:spPr>
            <a:solidFill>
              <a:srgbClr val="C30045"/>
            </a:solidFill>
            <a:ln>
              <a:solidFill>
                <a:sysClr val="windowText" lastClr="000000"/>
              </a:solidFill>
            </a:ln>
          </c:spPr>
          <c:invertIfNegative val="0"/>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Nadwyżka!$I$30:$I$37</c:f>
              <c:numCache>
                <c:formatCode>General</c:formatCode>
                <c:ptCount val="8"/>
                <c:pt idx="0">
                  <c:v>4654</c:v>
                </c:pt>
                <c:pt idx="1">
                  <c:v>4875</c:v>
                </c:pt>
                <c:pt idx="2">
                  <c:v>6408</c:v>
                </c:pt>
                <c:pt idx="3">
                  <c:v>6388</c:v>
                </c:pt>
                <c:pt idx="4">
                  <c:v>4986</c:v>
                </c:pt>
                <c:pt idx="5">
                  <c:v>5407</c:v>
                </c:pt>
                <c:pt idx="6">
                  <c:v>3580</c:v>
                </c:pt>
                <c:pt idx="7">
                  <c:v>2334</c:v>
                </c:pt>
              </c:numCache>
            </c:numRef>
          </c:val>
        </c:ser>
        <c:ser>
          <c:idx val="1"/>
          <c:order val="1"/>
          <c:tx>
            <c:strRef>
              <c:f>Nadwyżka!$J$29</c:f>
              <c:strCache>
                <c:ptCount val="1"/>
                <c:pt idx="0">
                  <c:v>Liczba kobiet</c:v>
                </c:pt>
              </c:strCache>
            </c:strRef>
          </c:tx>
          <c:spPr>
            <a:solidFill>
              <a:srgbClr val="B1059D"/>
            </a:solidFill>
            <a:ln>
              <a:solidFill>
                <a:sysClr val="windowText" lastClr="000000"/>
              </a:solidFill>
            </a:ln>
          </c:spPr>
          <c:invertIfNegative val="0"/>
          <c:dLbls>
            <c:dLbl>
              <c:idx val="0"/>
              <c:tx>
                <c:rich>
                  <a:bodyPr/>
                  <a:lstStyle/>
                  <a:p>
                    <a:r>
                      <a:rPr lang="en-US"/>
                      <a:t>4410</a:t>
                    </a:r>
                  </a:p>
                </c:rich>
              </c:tx>
              <c:dLblPos val="in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4500</a:t>
                    </a:r>
                  </a:p>
                </c:rich>
              </c:tx>
              <c:dLblPos val="in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6047</a:t>
                    </a:r>
                  </a:p>
                </c:rich>
              </c:tx>
              <c:dLblPos val="in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5899</a:t>
                    </a:r>
                  </a:p>
                </c:rich>
              </c:tx>
              <c:dLblPos val="in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4850</a:t>
                    </a:r>
                  </a:p>
                </c:rich>
              </c:tx>
              <c:dLblPos val="in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5333</a:t>
                    </a:r>
                  </a:p>
                </c:rich>
              </c:tx>
              <c:dLblPos val="in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4107</a:t>
                    </a:r>
                  </a:p>
                </c:rich>
              </c:tx>
              <c:dLblPos val="in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4324</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Nadwyżka!$J$30:$J$37</c:f>
              <c:numCache>
                <c:formatCode>General</c:formatCode>
                <c:ptCount val="8"/>
                <c:pt idx="0">
                  <c:v>-4410</c:v>
                </c:pt>
                <c:pt idx="1">
                  <c:v>-4500</c:v>
                </c:pt>
                <c:pt idx="2">
                  <c:v>-6047</c:v>
                </c:pt>
                <c:pt idx="3">
                  <c:v>-5899</c:v>
                </c:pt>
                <c:pt idx="4">
                  <c:v>-4850</c:v>
                </c:pt>
                <c:pt idx="5">
                  <c:v>-5333</c:v>
                </c:pt>
                <c:pt idx="6">
                  <c:v>-4107</c:v>
                </c:pt>
                <c:pt idx="7">
                  <c:v>-4324</c:v>
                </c:pt>
              </c:numCache>
            </c:numRef>
          </c:val>
        </c:ser>
        <c:ser>
          <c:idx val="2"/>
          <c:order val="2"/>
          <c:tx>
            <c:strRef>
              <c:f>Nadwyżka!$K$29</c:f>
              <c:strCache>
                <c:ptCount val="1"/>
                <c:pt idx="0">
                  <c:v>Nadwyżka liczby mężczyzn</c:v>
                </c:pt>
              </c:strCache>
            </c:strRef>
          </c:tx>
          <c:spPr>
            <a:solidFill>
              <a:srgbClr val="882345"/>
            </a:solidFill>
            <a:ln>
              <a:solidFill>
                <a:sysClr val="windowText" lastClr="000000"/>
              </a:solidFill>
            </a:ln>
          </c:spPr>
          <c:invertIfNegative val="0"/>
          <c:dLbls>
            <c:dLbl>
              <c:idx val="0"/>
              <c:layout>
                <c:manualLayout>
                  <c:x val="3.53033683289588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8784558180227469E-2"/>
                  <c:y val="8.491769343637759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5634733158355206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1814085739282691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9655730533683412E-2"/>
                  <c:y val="4.2458846718187353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766097987751668E-2"/>
                  <c:y val="4.6319276952442876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Nadwyżka!$K$30:$K$37</c:f>
              <c:numCache>
                <c:formatCode>General</c:formatCode>
                <c:ptCount val="8"/>
                <c:pt idx="0">
                  <c:v>244</c:v>
                </c:pt>
                <c:pt idx="1">
                  <c:v>375</c:v>
                </c:pt>
                <c:pt idx="2">
                  <c:v>361</c:v>
                </c:pt>
                <c:pt idx="3">
                  <c:v>489</c:v>
                </c:pt>
                <c:pt idx="4">
                  <c:v>136</c:v>
                </c:pt>
                <c:pt idx="5">
                  <c:v>74</c:v>
                </c:pt>
              </c:numCache>
            </c:numRef>
          </c:val>
        </c:ser>
        <c:ser>
          <c:idx val="3"/>
          <c:order val="3"/>
          <c:tx>
            <c:strRef>
              <c:f>Nadwyżka!$L$29</c:f>
              <c:strCache>
                <c:ptCount val="1"/>
                <c:pt idx="0">
                  <c:v>Nadwyżka liczby kobiet</c:v>
                </c:pt>
              </c:strCache>
            </c:strRef>
          </c:tx>
          <c:spPr>
            <a:solidFill>
              <a:srgbClr val="824BB0"/>
            </a:solidFill>
            <a:ln>
              <a:solidFill>
                <a:sysClr val="windowText" lastClr="000000"/>
              </a:solidFill>
            </a:ln>
          </c:spPr>
          <c:invertIfNegative val="0"/>
          <c:dLbls>
            <c:dLbl>
              <c:idx val="6"/>
              <c:layout>
                <c:manualLayout>
                  <c:x val="-4.3981846019247567E-2"/>
                  <c:y val="0"/>
                </c:manualLayout>
              </c:layout>
              <c:tx>
                <c:rich>
                  <a:bodyPr/>
                  <a:lstStyle/>
                  <a:p>
                    <a:r>
                      <a:rPr lang="en-US"/>
                      <a:t>527</a:t>
                    </a:r>
                  </a:p>
                </c:rich>
              </c:tx>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0312992125983692E-2"/>
                  <c:y val="0"/>
                </c:manualLayout>
              </c:layout>
              <c:tx>
                <c:rich>
                  <a:bodyPr/>
                  <a:lstStyle/>
                  <a:p>
                    <a:pPr>
                      <a:defRPr>
                        <a:solidFill>
                          <a:schemeClr val="bg1"/>
                        </a:solidFill>
                      </a:defRPr>
                    </a:pPr>
                    <a:r>
                      <a:rPr lang="en-US">
                        <a:solidFill>
                          <a:schemeClr val="bg1"/>
                        </a:solidFill>
                      </a:rPr>
                      <a:t>1990</a:t>
                    </a:r>
                  </a:p>
                </c:rich>
              </c:tx>
              <c:sp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Nadwyżka!$H$30:$H$37</c:f>
              <c:strCache>
                <c:ptCount val="8"/>
                <c:pt idx="0">
                  <c:v>0-9</c:v>
                </c:pt>
                <c:pt idx="1">
                  <c:v>10-19</c:v>
                </c:pt>
                <c:pt idx="2">
                  <c:v>20-29</c:v>
                </c:pt>
                <c:pt idx="3">
                  <c:v>30-39</c:v>
                </c:pt>
                <c:pt idx="4">
                  <c:v>40-49</c:v>
                </c:pt>
                <c:pt idx="5">
                  <c:v>50-59</c:v>
                </c:pt>
                <c:pt idx="6">
                  <c:v>60-69</c:v>
                </c:pt>
                <c:pt idx="7">
                  <c:v>70 i więcej</c:v>
                </c:pt>
              </c:strCache>
            </c:strRef>
          </c:cat>
          <c:val>
            <c:numRef>
              <c:f>Nadwyżka!$L$30:$L$37</c:f>
              <c:numCache>
                <c:formatCode>General</c:formatCode>
                <c:ptCount val="8"/>
                <c:pt idx="6">
                  <c:v>-527</c:v>
                </c:pt>
                <c:pt idx="7">
                  <c:v>-1990</c:v>
                </c:pt>
              </c:numCache>
            </c:numRef>
          </c:val>
        </c:ser>
        <c:dLbls>
          <c:showLegendKey val="0"/>
          <c:showVal val="1"/>
          <c:showCatName val="0"/>
          <c:showSerName val="0"/>
          <c:showPercent val="0"/>
          <c:showBubbleSize val="0"/>
        </c:dLbls>
        <c:gapWidth val="150"/>
        <c:overlap val="100"/>
        <c:axId val="160900224"/>
        <c:axId val="160901760"/>
      </c:barChart>
      <c:catAx>
        <c:axId val="160900224"/>
        <c:scaling>
          <c:orientation val="minMax"/>
        </c:scaling>
        <c:delete val="0"/>
        <c:axPos val="l"/>
        <c:numFmt formatCode="General" sourceLinked="0"/>
        <c:majorTickMark val="out"/>
        <c:minorTickMark val="none"/>
        <c:tickLblPos val="low"/>
        <c:crossAx val="160901760"/>
        <c:crosses val="autoZero"/>
        <c:auto val="1"/>
        <c:lblAlgn val="ctr"/>
        <c:lblOffset val="100"/>
        <c:noMultiLvlLbl val="0"/>
      </c:catAx>
      <c:valAx>
        <c:axId val="160901760"/>
        <c:scaling>
          <c:orientation val="minMax"/>
        </c:scaling>
        <c:delete val="1"/>
        <c:axPos val="b"/>
        <c:numFmt formatCode="General" sourceLinked="1"/>
        <c:majorTickMark val="out"/>
        <c:minorTickMark val="none"/>
        <c:tickLblPos val="none"/>
        <c:crossAx val="160900224"/>
        <c:crosses val="autoZero"/>
        <c:crossBetween val="between"/>
      </c:valAx>
    </c:plotArea>
    <c:legend>
      <c:legendPos val="r"/>
      <c:layout>
        <c:manualLayout>
          <c:xMode val="edge"/>
          <c:yMode val="edge"/>
          <c:x val="1.3888888888889485E-2"/>
          <c:y val="0.89001442511797657"/>
          <c:w val="0.97222222222222221"/>
          <c:h val="8.7841982390454723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481465327170793E-2"/>
          <c:y val="5.1948051948051951E-2"/>
          <c:w val="0.94275026603099021"/>
          <c:h val="0.72563545259326112"/>
        </c:manualLayout>
      </c:layout>
      <c:lineChart>
        <c:grouping val="standard"/>
        <c:varyColors val="0"/>
        <c:ser>
          <c:idx val="0"/>
          <c:order val="0"/>
          <c:tx>
            <c:strRef>
              <c:f>'C:\Documents and Settings\jasieniecka.monika\Moje dokumenty\Downloads\[DP_20150203_121826.xls]DATA'!$F$7</c:f>
              <c:strCache>
                <c:ptCount val="1"/>
                <c:pt idx="0">
                  <c:v>Urodzenia żywe</c:v>
                </c:pt>
              </c:strCache>
            </c:strRef>
          </c:tx>
          <c:spPr>
            <a:ln>
              <a:solidFill>
                <a:srgbClr val="882345"/>
              </a:solidFill>
            </a:ln>
          </c:spPr>
          <c:marker>
            <c:spPr>
              <a:solidFill>
                <a:srgbClr val="824BB0"/>
              </a:solidFill>
              <a:ln>
                <a:solidFill>
                  <a:srgbClr val="88234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dokumenty\Downloads\[DP_20150203_121826.xls]DATA'!$F$8:$F$12</c:f>
              <c:numCache>
                <c:formatCode>General</c:formatCode>
                <c:ptCount val="5"/>
                <c:pt idx="0">
                  <c:v>1034</c:v>
                </c:pt>
                <c:pt idx="1">
                  <c:v>958</c:v>
                </c:pt>
                <c:pt idx="2">
                  <c:v>917</c:v>
                </c:pt>
                <c:pt idx="3">
                  <c:v>866</c:v>
                </c:pt>
                <c:pt idx="4">
                  <c:v>856</c:v>
                </c:pt>
              </c:numCache>
            </c:numRef>
          </c:val>
          <c:smooth val="0"/>
        </c:ser>
        <c:ser>
          <c:idx val="1"/>
          <c:order val="1"/>
          <c:tx>
            <c:strRef>
              <c:f>'C:\Documents and Settings\jasieniecka.monika\Moje dokumenty\Downloads\[DP_20150203_121826.xls]DATA'!$G$7</c:f>
              <c:strCache>
                <c:ptCount val="1"/>
                <c:pt idx="0">
                  <c:v>Zgony ogółem</c:v>
                </c:pt>
              </c:strCache>
            </c:strRef>
          </c:tx>
          <c:spPr>
            <a:ln>
              <a:solidFill>
                <a:srgbClr val="B1059D"/>
              </a:solidFill>
            </a:ln>
          </c:spPr>
          <c:marker>
            <c:spPr>
              <a:solidFill>
                <a:srgbClr val="FEA6C5"/>
              </a:solidFill>
              <a:ln>
                <a:solidFill>
                  <a:srgbClr val="B1059D"/>
                </a:solidFill>
              </a:ln>
            </c:spPr>
          </c:marker>
          <c:dLbls>
            <c:dLbl>
              <c:idx val="1"/>
              <c:layout>
                <c:manualLayout>
                  <c:x val="-4.9328173025587813E-2"/>
                  <c:y val="-6.6601039545584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912123921012123E-2"/>
                  <c:y val="-4.48642266824085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912123921012123E-2"/>
                  <c:y val="-4.01416765053128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dokumenty\Downloads\[DP_20150203_121826.xls]DATA'!$G$8:$G$12</c:f>
              <c:numCache>
                <c:formatCode>General</c:formatCode>
                <c:ptCount val="5"/>
                <c:pt idx="0">
                  <c:v>759</c:v>
                </c:pt>
                <c:pt idx="1">
                  <c:v>758</c:v>
                </c:pt>
                <c:pt idx="2">
                  <c:v>693</c:v>
                </c:pt>
                <c:pt idx="3">
                  <c:v>709</c:v>
                </c:pt>
                <c:pt idx="4">
                  <c:v>693</c:v>
                </c:pt>
              </c:numCache>
            </c:numRef>
          </c:val>
          <c:smooth val="0"/>
        </c:ser>
        <c:ser>
          <c:idx val="2"/>
          <c:order val="2"/>
          <c:tx>
            <c:strRef>
              <c:f>'C:\Documents and Settings\jasieniecka.monika\Moje dokumenty\Downloads\[DP_20150203_121826.xls]DATA'!$H$7</c:f>
              <c:strCache>
                <c:ptCount val="1"/>
                <c:pt idx="0">
                  <c:v>Przyrost naturalny</c:v>
                </c:pt>
              </c:strCache>
            </c:strRef>
          </c:tx>
          <c:spPr>
            <a:ln>
              <a:solidFill>
                <a:srgbClr val="4F2D7F"/>
              </a:solidFill>
            </a:ln>
          </c:spPr>
          <c:marker>
            <c:spPr>
              <a:solidFill>
                <a:srgbClr val="C30045"/>
              </a:solidFill>
              <a:ln>
                <a:solidFill>
                  <a:srgbClr val="4F2D7F"/>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'C:\Documents and Settings\jasieniecka.monika\Moje dokumenty\Downloads\[DP_20150203_121826.xls]DATA'!$E$8:$E$12</c:f>
              <c:strCache>
                <c:ptCount val="5"/>
                <c:pt idx="0">
                  <c:v>2009</c:v>
                </c:pt>
                <c:pt idx="1">
                  <c:v>2010</c:v>
                </c:pt>
                <c:pt idx="2">
                  <c:v>2011</c:v>
                </c:pt>
                <c:pt idx="3">
                  <c:v>2012</c:v>
                </c:pt>
                <c:pt idx="4">
                  <c:v>2013</c:v>
                </c:pt>
              </c:strCache>
            </c:strRef>
          </c:cat>
          <c:val>
            <c:numRef>
              <c:f>'C:\Documents and Settings\jasieniecka.monika\Moje dokumenty\Downloads\[DP_20150203_121826.xls]DATA'!$H$8:$H$12</c:f>
              <c:numCache>
                <c:formatCode>General</c:formatCode>
                <c:ptCount val="5"/>
                <c:pt idx="0">
                  <c:v>275</c:v>
                </c:pt>
                <c:pt idx="1">
                  <c:v>200</c:v>
                </c:pt>
                <c:pt idx="2">
                  <c:v>224</c:v>
                </c:pt>
                <c:pt idx="3">
                  <c:v>157</c:v>
                </c:pt>
                <c:pt idx="4">
                  <c:v>163</c:v>
                </c:pt>
              </c:numCache>
            </c:numRef>
          </c:val>
          <c:smooth val="0"/>
        </c:ser>
        <c:dLbls>
          <c:showLegendKey val="0"/>
          <c:showVal val="1"/>
          <c:showCatName val="0"/>
          <c:showSerName val="0"/>
          <c:showPercent val="0"/>
          <c:showBubbleSize val="0"/>
        </c:dLbls>
        <c:marker val="1"/>
        <c:smooth val="0"/>
        <c:axId val="161109120"/>
        <c:axId val="161110656"/>
      </c:lineChart>
      <c:catAx>
        <c:axId val="161109120"/>
        <c:scaling>
          <c:orientation val="minMax"/>
        </c:scaling>
        <c:delete val="0"/>
        <c:axPos val="b"/>
        <c:numFmt formatCode="General" sourceLinked="0"/>
        <c:majorTickMark val="out"/>
        <c:minorTickMark val="none"/>
        <c:tickLblPos val="nextTo"/>
        <c:crossAx val="161110656"/>
        <c:crosses val="autoZero"/>
        <c:auto val="1"/>
        <c:lblAlgn val="ctr"/>
        <c:lblOffset val="100"/>
        <c:noMultiLvlLbl val="0"/>
      </c:catAx>
      <c:valAx>
        <c:axId val="161110656"/>
        <c:scaling>
          <c:orientation val="minMax"/>
        </c:scaling>
        <c:delete val="1"/>
        <c:axPos val="l"/>
        <c:numFmt formatCode="General" sourceLinked="1"/>
        <c:majorTickMark val="out"/>
        <c:minorTickMark val="none"/>
        <c:tickLblPos val="none"/>
        <c:crossAx val="161109120"/>
        <c:crosses val="autoZero"/>
        <c:crossBetween val="between"/>
      </c:valAx>
    </c:plotArea>
    <c:legend>
      <c:legendPos val="r"/>
      <c:layout>
        <c:manualLayout>
          <c:xMode val="edge"/>
          <c:yMode val="edge"/>
          <c:x val="1.7222137006004435E-2"/>
          <c:y val="0.8619126328217237"/>
          <c:w val="0.96060952457423665"/>
          <c:h val="0.1120661157024796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17062759237923E-2"/>
          <c:y val="5.1341226187553726E-2"/>
          <c:w val="0.92530239087248856"/>
          <c:h val="0.75396513586090752"/>
        </c:manualLayout>
      </c:layout>
      <c:lineChart>
        <c:grouping val="standard"/>
        <c:varyColors val="0"/>
        <c:ser>
          <c:idx val="0"/>
          <c:order val="0"/>
          <c:tx>
            <c:strRef>
              <c:f>Arkusz2!$E$31</c:f>
              <c:strCache>
                <c:ptCount val="1"/>
                <c:pt idx="0">
                  <c:v>zameldowania ogółem</c:v>
                </c:pt>
              </c:strCache>
            </c:strRef>
          </c:tx>
          <c:spPr>
            <a:ln>
              <a:solidFill>
                <a:srgbClr val="4F2D7F"/>
              </a:solidFill>
            </a:ln>
          </c:spPr>
          <c:marker>
            <c:spPr>
              <a:solidFill>
                <a:srgbClr val="C30045"/>
              </a:solidFill>
              <a:ln>
                <a:solidFill>
                  <a:srgbClr val="4F2D7F"/>
                </a:solidFill>
              </a:ln>
            </c:spPr>
          </c:marker>
          <c:dLbls>
            <c:dLbl>
              <c:idx val="0"/>
              <c:layout>
                <c:manualLayout>
                  <c:x val="-4.9520256495138713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449240334581157E-2"/>
                  <c:y val="5.40193035459511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Arkusz2!$E$32:$E$36</c:f>
              <c:numCache>
                <c:formatCode>0</c:formatCode>
                <c:ptCount val="5"/>
                <c:pt idx="0">
                  <c:v>386</c:v>
                </c:pt>
                <c:pt idx="1">
                  <c:v>455</c:v>
                </c:pt>
                <c:pt idx="2">
                  <c:v>470</c:v>
                </c:pt>
                <c:pt idx="3">
                  <c:v>430</c:v>
                </c:pt>
                <c:pt idx="4">
                  <c:v>410</c:v>
                </c:pt>
              </c:numCache>
            </c:numRef>
          </c:val>
          <c:smooth val="0"/>
        </c:ser>
        <c:ser>
          <c:idx val="1"/>
          <c:order val="1"/>
          <c:tx>
            <c:strRef>
              <c:f>Arkusz2!$F$31</c:f>
              <c:strCache>
                <c:ptCount val="1"/>
                <c:pt idx="0">
                  <c:v>wymeldowania ogółem</c:v>
                </c:pt>
              </c:strCache>
            </c:strRef>
          </c:tx>
          <c:spPr>
            <a:ln>
              <a:solidFill>
                <a:srgbClr val="B1059D"/>
              </a:solidFill>
            </a:ln>
          </c:spPr>
          <c:marker>
            <c:spPr>
              <a:solidFill>
                <a:srgbClr val="FEA6C5"/>
              </a:solidFill>
              <a:ln>
                <a:solidFill>
                  <a:srgbClr val="B1059D"/>
                </a:solidFill>
              </a:ln>
            </c:spPr>
          </c:marker>
          <c:dLbls>
            <c:dLbl>
              <c:idx val="1"/>
              <c:layout>
                <c:manualLayout>
                  <c:x val="-4.6449240334581157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449240334581157E-2"/>
                  <c:y val="6.43086946975621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449240334581157E-2"/>
                  <c:y val="6.945339027336563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Arkusz2!$F$32:$F$36</c:f>
              <c:numCache>
                <c:formatCode>0</c:formatCode>
                <c:ptCount val="5"/>
                <c:pt idx="0">
                  <c:v>489</c:v>
                </c:pt>
                <c:pt idx="1">
                  <c:v>391</c:v>
                </c:pt>
                <c:pt idx="2">
                  <c:v>464</c:v>
                </c:pt>
                <c:pt idx="3">
                  <c:v>407</c:v>
                </c:pt>
                <c:pt idx="4">
                  <c:v>451</c:v>
                </c:pt>
              </c:numCache>
            </c:numRef>
          </c:val>
          <c:smooth val="0"/>
        </c:ser>
        <c:ser>
          <c:idx val="2"/>
          <c:order val="2"/>
          <c:tx>
            <c:strRef>
              <c:f>Arkusz2!$G$31</c:f>
              <c:strCache>
                <c:ptCount val="1"/>
                <c:pt idx="0">
                  <c:v>saldo migracji</c:v>
                </c:pt>
              </c:strCache>
            </c:strRef>
          </c:tx>
          <c:spPr>
            <a:ln>
              <a:solidFill>
                <a:srgbClr val="C30045"/>
              </a:solidFill>
            </a:ln>
          </c:spPr>
          <c:marker>
            <c:spPr>
              <a:solidFill>
                <a:srgbClr val="824BB0"/>
              </a:solidFill>
              <a:ln>
                <a:solidFill>
                  <a:srgbClr val="C30045"/>
                </a:solidFill>
              </a:ln>
            </c:spPr>
          </c:marker>
          <c:dLbls>
            <c:dLbl>
              <c:idx val="0"/>
              <c:layout>
                <c:manualLayout>
                  <c:x val="-5.3359026695835712E-2"/>
                  <c:y val="5.91639991217559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Arkusz2!$D$32:$D$36</c:f>
              <c:strCache>
                <c:ptCount val="5"/>
                <c:pt idx="0">
                  <c:v>2009</c:v>
                </c:pt>
                <c:pt idx="1">
                  <c:v>2010</c:v>
                </c:pt>
                <c:pt idx="2">
                  <c:v>2011</c:v>
                </c:pt>
                <c:pt idx="3">
                  <c:v>2012</c:v>
                </c:pt>
                <c:pt idx="4">
                  <c:v>2013</c:v>
                </c:pt>
              </c:strCache>
            </c:strRef>
          </c:cat>
          <c:val>
            <c:numRef>
              <c:f>Arkusz2!$G$32:$G$36</c:f>
              <c:numCache>
                <c:formatCode>0</c:formatCode>
                <c:ptCount val="5"/>
                <c:pt idx="0">
                  <c:v>-103</c:v>
                </c:pt>
                <c:pt idx="1">
                  <c:v>64</c:v>
                </c:pt>
                <c:pt idx="2">
                  <c:v>6</c:v>
                </c:pt>
                <c:pt idx="3">
                  <c:v>23</c:v>
                </c:pt>
                <c:pt idx="4">
                  <c:v>-41</c:v>
                </c:pt>
              </c:numCache>
            </c:numRef>
          </c:val>
          <c:smooth val="0"/>
        </c:ser>
        <c:dLbls>
          <c:showLegendKey val="0"/>
          <c:showVal val="1"/>
          <c:showCatName val="0"/>
          <c:showSerName val="0"/>
          <c:showPercent val="0"/>
          <c:showBubbleSize val="0"/>
        </c:dLbls>
        <c:marker val="1"/>
        <c:smooth val="0"/>
        <c:axId val="161309824"/>
        <c:axId val="161311360"/>
      </c:lineChart>
      <c:catAx>
        <c:axId val="161309824"/>
        <c:scaling>
          <c:orientation val="minMax"/>
        </c:scaling>
        <c:delete val="0"/>
        <c:axPos val="b"/>
        <c:numFmt formatCode="General" sourceLinked="0"/>
        <c:majorTickMark val="out"/>
        <c:minorTickMark val="none"/>
        <c:tickLblPos val="nextTo"/>
        <c:crossAx val="161311360"/>
        <c:crosses val="autoZero"/>
        <c:auto val="1"/>
        <c:lblAlgn val="ctr"/>
        <c:lblOffset val="100"/>
        <c:noMultiLvlLbl val="0"/>
      </c:catAx>
      <c:valAx>
        <c:axId val="161311360"/>
        <c:scaling>
          <c:orientation val="minMax"/>
        </c:scaling>
        <c:delete val="1"/>
        <c:axPos val="l"/>
        <c:numFmt formatCode="0" sourceLinked="1"/>
        <c:majorTickMark val="out"/>
        <c:minorTickMark val="none"/>
        <c:tickLblPos val="none"/>
        <c:crossAx val="161309824"/>
        <c:crosses val="autoZero"/>
        <c:crossBetween val="between"/>
      </c:valAx>
    </c:plotArea>
    <c:legend>
      <c:legendPos val="r"/>
      <c:layout>
        <c:manualLayout>
          <c:xMode val="edge"/>
          <c:yMode val="edge"/>
          <c:x val="3.6763779527560526E-2"/>
          <c:y val="0.86879177097084936"/>
          <c:w val="0.94656955380577423"/>
          <c:h val="0.10865886850848848"/>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280253278017867"/>
          <c:y val="2.2655793069556812E-2"/>
          <c:w val="0.64222026374363761"/>
          <c:h val="0.95468841386090053"/>
        </c:manualLayout>
      </c:layout>
      <c:barChart>
        <c:barDir val="bar"/>
        <c:grouping val="clustered"/>
        <c:varyColors val="0"/>
        <c:ser>
          <c:idx val="0"/>
          <c:order val="0"/>
          <c:spPr>
            <a:solidFill>
              <a:srgbClr val="824BB0"/>
            </a:solidFill>
            <a:ln>
              <a:solidFill>
                <a:schemeClr val="tx1"/>
              </a:solidFill>
            </a:ln>
          </c:spPr>
          <c:invertIfNegative val="0"/>
          <c:dPt>
            <c:idx val="8"/>
            <c:invertIfNegative val="0"/>
            <c:bubble3D val="0"/>
            <c:spPr>
              <a:solidFill>
                <a:srgbClr val="B1059D"/>
              </a:solidFill>
              <a:ln>
                <a:solidFill>
                  <a:schemeClr val="tx1"/>
                </a:solidFill>
              </a:ln>
            </c:spPr>
          </c:dPt>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Arkusz1!$A$3:$A$25</c:f>
              <c:strCache>
                <c:ptCount val="23"/>
                <c:pt idx="0">
                  <c:v>Powiat grudziądzki</c:v>
                </c:pt>
                <c:pt idx="1">
                  <c:v>Powiat włocławski</c:v>
                </c:pt>
                <c:pt idx="2">
                  <c:v>Powiat wąbrzeski</c:v>
                </c:pt>
                <c:pt idx="3">
                  <c:v>Powiat chełmiński</c:v>
                </c:pt>
                <c:pt idx="4">
                  <c:v>Powiat tucholski</c:v>
                </c:pt>
                <c:pt idx="5">
                  <c:v>Powiat lipnowski</c:v>
                </c:pt>
                <c:pt idx="6">
                  <c:v>Powiat nakielski</c:v>
                </c:pt>
                <c:pt idx="7">
                  <c:v>Powiat mogileński</c:v>
                </c:pt>
                <c:pt idx="8">
                  <c:v>Powiat brodnicki</c:v>
                </c:pt>
                <c:pt idx="9">
                  <c:v>Powiat radziejowski</c:v>
                </c:pt>
                <c:pt idx="10">
                  <c:v>Powiat sępoleński</c:v>
                </c:pt>
                <c:pt idx="11">
                  <c:v>Powiat świecki</c:v>
                </c:pt>
                <c:pt idx="12">
                  <c:v>Powiat żniński</c:v>
                </c:pt>
                <c:pt idx="13">
                  <c:v>Powiat golubsko-dobrzyński</c:v>
                </c:pt>
                <c:pt idx="14">
                  <c:v>Powiat rypiński</c:v>
                </c:pt>
                <c:pt idx="15">
                  <c:v>Powiat inowrocławski</c:v>
                </c:pt>
                <c:pt idx="16">
                  <c:v>Powiat m.Grudziądz</c:v>
                </c:pt>
                <c:pt idx="17">
                  <c:v>Powiat aleksandrowski</c:v>
                </c:pt>
                <c:pt idx="18">
                  <c:v>Powiat toruński</c:v>
                </c:pt>
                <c:pt idx="19">
                  <c:v>Powiat m.Włocławek</c:v>
                </c:pt>
                <c:pt idx="20">
                  <c:v>Powiat bydgoski</c:v>
                </c:pt>
                <c:pt idx="21">
                  <c:v>Powiat m.Bydgoszcz</c:v>
                </c:pt>
                <c:pt idx="22">
                  <c:v>Powiat m.Toruń</c:v>
                </c:pt>
              </c:strCache>
            </c:strRef>
          </c:cat>
          <c:val>
            <c:numRef>
              <c:f>Arkusz1!$B$3:$B$25</c:f>
              <c:numCache>
                <c:formatCode>General</c:formatCode>
                <c:ptCount val="23"/>
                <c:pt idx="0">
                  <c:v>673</c:v>
                </c:pt>
                <c:pt idx="1">
                  <c:v>677</c:v>
                </c:pt>
                <c:pt idx="2">
                  <c:v>683</c:v>
                </c:pt>
                <c:pt idx="3">
                  <c:v>687</c:v>
                </c:pt>
                <c:pt idx="4">
                  <c:v>703</c:v>
                </c:pt>
                <c:pt idx="5">
                  <c:v>706</c:v>
                </c:pt>
                <c:pt idx="6">
                  <c:v>707</c:v>
                </c:pt>
                <c:pt idx="7">
                  <c:v>711</c:v>
                </c:pt>
                <c:pt idx="8">
                  <c:v>714</c:v>
                </c:pt>
                <c:pt idx="9">
                  <c:v>734</c:v>
                </c:pt>
                <c:pt idx="10">
                  <c:v>740</c:v>
                </c:pt>
                <c:pt idx="11">
                  <c:v>742</c:v>
                </c:pt>
                <c:pt idx="12">
                  <c:v>743</c:v>
                </c:pt>
                <c:pt idx="13">
                  <c:v>749</c:v>
                </c:pt>
                <c:pt idx="14">
                  <c:v>752</c:v>
                </c:pt>
                <c:pt idx="15">
                  <c:v>825</c:v>
                </c:pt>
                <c:pt idx="16">
                  <c:v>826</c:v>
                </c:pt>
                <c:pt idx="17">
                  <c:v>860</c:v>
                </c:pt>
                <c:pt idx="18">
                  <c:v>891</c:v>
                </c:pt>
                <c:pt idx="19">
                  <c:v>1040</c:v>
                </c:pt>
                <c:pt idx="20">
                  <c:v>1064</c:v>
                </c:pt>
                <c:pt idx="21">
                  <c:v>1208</c:v>
                </c:pt>
                <c:pt idx="22">
                  <c:v>1247</c:v>
                </c:pt>
              </c:numCache>
            </c:numRef>
          </c:val>
        </c:ser>
        <c:dLbls>
          <c:showLegendKey val="0"/>
          <c:showVal val="0"/>
          <c:showCatName val="0"/>
          <c:showSerName val="0"/>
          <c:showPercent val="0"/>
          <c:showBubbleSize val="0"/>
        </c:dLbls>
        <c:gapWidth val="150"/>
        <c:axId val="161361280"/>
        <c:axId val="161383552"/>
      </c:barChart>
      <c:catAx>
        <c:axId val="161361280"/>
        <c:scaling>
          <c:orientation val="minMax"/>
        </c:scaling>
        <c:delete val="0"/>
        <c:axPos val="l"/>
        <c:numFmt formatCode="General" sourceLinked="0"/>
        <c:majorTickMark val="out"/>
        <c:minorTickMark val="none"/>
        <c:tickLblPos val="nextTo"/>
        <c:crossAx val="161383552"/>
        <c:crosses val="autoZero"/>
        <c:auto val="1"/>
        <c:lblAlgn val="ctr"/>
        <c:lblOffset val="100"/>
        <c:noMultiLvlLbl val="0"/>
      </c:catAx>
      <c:valAx>
        <c:axId val="161383552"/>
        <c:scaling>
          <c:orientation val="minMax"/>
        </c:scaling>
        <c:delete val="1"/>
        <c:axPos val="b"/>
        <c:numFmt formatCode="General" sourceLinked="1"/>
        <c:majorTickMark val="out"/>
        <c:minorTickMark val="none"/>
        <c:tickLblPos val="none"/>
        <c:crossAx val="161361280"/>
        <c:crosses val="autoZero"/>
        <c:crossBetween val="between"/>
      </c:valAx>
    </c:plotArea>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50654255800924E-2"/>
          <c:y val="5.0867052023121924E-2"/>
          <c:w val="0.45217259331528092"/>
          <c:h val="0.88156107158055552"/>
        </c:manualLayout>
      </c:layout>
      <c:pieChart>
        <c:varyColors val="1"/>
        <c:ser>
          <c:idx val="0"/>
          <c:order val="0"/>
          <c:spPr>
            <a:ln>
              <a:solidFill>
                <a:sysClr val="windowText" lastClr="000000"/>
              </a:solidFill>
            </a:ln>
          </c:spPr>
          <c:dPt>
            <c:idx val="0"/>
            <c:bubble3D val="0"/>
            <c:spPr>
              <a:solidFill>
                <a:srgbClr val="9F7E96"/>
              </a:solidFill>
              <a:ln>
                <a:solidFill>
                  <a:sysClr val="windowText" lastClr="000000"/>
                </a:solidFill>
              </a:ln>
            </c:spPr>
          </c:dPt>
          <c:dPt>
            <c:idx val="1"/>
            <c:bubble3D val="0"/>
            <c:explosion val="8"/>
            <c:spPr>
              <a:solidFill>
                <a:srgbClr val="C30045"/>
              </a:solidFill>
              <a:ln>
                <a:solidFill>
                  <a:sysClr val="windowText" lastClr="000000"/>
                </a:solidFill>
              </a:ln>
            </c:spPr>
          </c:dPt>
          <c:dPt>
            <c:idx val="2"/>
            <c:bubble3D val="0"/>
            <c:spPr>
              <a:solidFill>
                <a:srgbClr val="FEA6C5"/>
              </a:solidFill>
              <a:ln>
                <a:solidFill>
                  <a:sysClr val="windowText" lastClr="000000"/>
                </a:solidFill>
              </a:ln>
            </c:spPr>
          </c:dPt>
          <c:dPt>
            <c:idx val="3"/>
            <c:bubble3D val="0"/>
            <c:spPr>
              <a:solidFill>
                <a:srgbClr val="B1059D"/>
              </a:solidFill>
              <a:ln>
                <a:solidFill>
                  <a:sysClr val="windowText" lastClr="000000"/>
                </a:solidFill>
              </a:ln>
            </c:spPr>
          </c:dPt>
          <c:dPt>
            <c:idx val="4"/>
            <c:bubble3D val="0"/>
            <c:spPr>
              <a:solidFill>
                <a:srgbClr val="4F2D7F"/>
              </a:solidFill>
              <a:ln>
                <a:solidFill>
                  <a:sysClr val="windowText" lastClr="000000"/>
                </a:solidFill>
              </a:ln>
            </c:spPr>
          </c:dPt>
          <c:dPt>
            <c:idx val="5"/>
            <c:bubble3D val="0"/>
            <c:spPr>
              <a:solidFill>
                <a:srgbClr val="895B5B"/>
              </a:solidFill>
              <a:ln>
                <a:solidFill>
                  <a:sysClr val="windowText" lastClr="000000"/>
                </a:solidFill>
              </a:ln>
            </c:spPr>
          </c:dPt>
          <c:dPt>
            <c:idx val="6"/>
            <c:bubble3D val="0"/>
            <c:explosion val="10"/>
            <c:spPr>
              <a:solidFill>
                <a:srgbClr val="824BB0"/>
              </a:solidFill>
              <a:ln>
                <a:solidFill>
                  <a:sysClr val="windowText" lastClr="000000"/>
                </a:solidFill>
              </a:ln>
            </c:spPr>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'Bezrobocie '!$H$115:$H$121</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'!$J$115:$J$121</c:f>
              <c:numCache>
                <c:formatCode>0.0%</c:formatCode>
                <c:ptCount val="7"/>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ser>
          <c:idx val="1"/>
          <c:order val="1"/>
          <c:cat>
            <c:strRef>
              <c:f>'Bezrobocie '!$H$115:$H$122</c:f>
              <c:strCache>
                <c:ptCount val="7"/>
                <c:pt idx="0">
                  <c:v>Sekcja A - Rolnictwo, leśnictwo, łowiectwo i rybactwo</c:v>
                </c:pt>
                <c:pt idx="1">
                  <c:v>Sekcja C - Przetwórstwo rolne</c:v>
                </c:pt>
                <c:pt idx="2">
                  <c:v>Sekcja F - Budownictwo</c:v>
                </c:pt>
                <c:pt idx="3">
                  <c:v>Sekcja G - Handel hurtowy i detaliczny</c:v>
                </c:pt>
                <c:pt idx="4">
                  <c:v>Sekcja M - Działalność profesjonalna, naukowa i techniczna</c:v>
                </c:pt>
                <c:pt idx="5">
                  <c:v>Sekcja Q - Opieka zdrowotna i pomoc społeczna</c:v>
                </c:pt>
                <c:pt idx="6">
                  <c:v>Pozostałe</c:v>
                </c:pt>
              </c:strCache>
            </c:strRef>
          </c:cat>
          <c:val>
            <c:numRef>
              <c:f>'Bezrobocie '!$J$115:$J$122</c:f>
              <c:numCache>
                <c:formatCode>0.0%</c:formatCode>
                <c:ptCount val="8"/>
                <c:pt idx="0">
                  <c:v>5.1999999999999998E-2</c:v>
                </c:pt>
                <c:pt idx="1">
                  <c:v>9.3794835007175767E-2</c:v>
                </c:pt>
                <c:pt idx="2">
                  <c:v>0.14939024390244696</c:v>
                </c:pt>
                <c:pt idx="3">
                  <c:v>0.26004304160688663</c:v>
                </c:pt>
                <c:pt idx="4">
                  <c:v>5.6133428981349022E-2</c:v>
                </c:pt>
                <c:pt idx="5">
                  <c:v>6.4741750358680072E-2</c:v>
                </c:pt>
                <c:pt idx="6">
                  <c:v>0.32442611190819648</c:v>
                </c:pt>
              </c:numCache>
            </c:numRef>
          </c:val>
        </c:ser>
        <c:dLbls>
          <c:showLegendKey val="0"/>
          <c:showVal val="0"/>
          <c:showCatName val="0"/>
          <c:showSerName val="0"/>
          <c:showPercent val="0"/>
          <c:showBubbleSize val="0"/>
          <c:showLeaderLines val="0"/>
        </c:dLbls>
        <c:firstSliceAng val="0"/>
      </c:pieChart>
    </c:plotArea>
    <c:legend>
      <c:legendPos val="r"/>
      <c:legendEntry>
        <c:idx val="7"/>
        <c:delete val="1"/>
      </c:legendEntry>
      <c:layout>
        <c:manualLayout>
          <c:xMode val="edge"/>
          <c:yMode val="edge"/>
          <c:x val="0.58548016042977258"/>
          <c:y val="3.236994219653179E-2"/>
          <c:w val="0.39507519301754729"/>
          <c:h val="0.96763005780350786"/>
        </c:manualLayout>
      </c:layout>
      <c:overlay val="0"/>
    </c:legend>
    <c:plotVisOnly val="1"/>
    <c:dispBlanksAs val="zero"/>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0375305045012E-2"/>
          <c:y val="4.8916073044267504E-2"/>
          <c:w val="0.84962405695236864"/>
          <c:h val="0.7228384488037447"/>
        </c:manualLayout>
      </c:layout>
      <c:barChart>
        <c:barDir val="col"/>
        <c:grouping val="clustered"/>
        <c:varyColors val="0"/>
        <c:ser>
          <c:idx val="1"/>
          <c:order val="1"/>
          <c:tx>
            <c:strRef>
              <c:f>'Bezrobocie '!$B$6</c:f>
              <c:strCache>
                <c:ptCount val="1"/>
                <c:pt idx="0">
                  <c:v>Liczba osób bezrobotnych na ORSG</c:v>
                </c:pt>
              </c:strCache>
            </c:strRef>
          </c:tx>
          <c:spPr>
            <a:solidFill>
              <a:srgbClr val="C30045"/>
            </a:solidFill>
            <a:ln>
              <a:solidFill>
                <a:schemeClr val="tx1"/>
              </a:solidFill>
            </a:ln>
          </c:spPr>
          <c:invertIfNegative val="0"/>
          <c:dLbls>
            <c:spPr>
              <a:noFill/>
              <a:ln>
                <a:noFill/>
              </a:ln>
              <a:effectLst/>
            </c:spPr>
            <c:txPr>
              <a:bodyPr rot="-5400000" vert="horz"/>
              <a:lstStyle/>
              <a:p>
                <a:pPr>
                  <a:defRPr>
                    <a:solidFill>
                      <a:schemeClr val="bg1"/>
                    </a:solidFill>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'!$C$6:$M$6</c:f>
              <c:numCache>
                <c:formatCode>0</c:formatCode>
                <c:ptCount val="11"/>
                <c:pt idx="0">
                  <c:v>8040</c:v>
                </c:pt>
                <c:pt idx="1">
                  <c:v>7472</c:v>
                </c:pt>
                <c:pt idx="2">
                  <c:v>6201</c:v>
                </c:pt>
                <c:pt idx="3">
                  <c:v>4383</c:v>
                </c:pt>
                <c:pt idx="4">
                  <c:v>3663</c:v>
                </c:pt>
                <c:pt idx="5">
                  <c:v>4672</c:v>
                </c:pt>
                <c:pt idx="6">
                  <c:v>4739</c:v>
                </c:pt>
                <c:pt idx="7">
                  <c:v>4397</c:v>
                </c:pt>
                <c:pt idx="8">
                  <c:v>4562</c:v>
                </c:pt>
                <c:pt idx="9">
                  <c:v>4822</c:v>
                </c:pt>
                <c:pt idx="10">
                  <c:v>4073</c:v>
                </c:pt>
              </c:numCache>
            </c:numRef>
          </c:val>
        </c:ser>
        <c:dLbls>
          <c:showLegendKey val="0"/>
          <c:showVal val="0"/>
          <c:showCatName val="0"/>
          <c:showSerName val="0"/>
          <c:showPercent val="0"/>
          <c:showBubbleSize val="0"/>
        </c:dLbls>
        <c:gapWidth val="150"/>
        <c:axId val="161630464"/>
        <c:axId val="161652736"/>
      </c:barChart>
      <c:lineChart>
        <c:grouping val="standard"/>
        <c:varyColors val="0"/>
        <c:ser>
          <c:idx val="0"/>
          <c:order val="0"/>
          <c:tx>
            <c:strRef>
              <c:f>'Bezrobocie '!$B$5</c:f>
              <c:strCache>
                <c:ptCount val="1"/>
                <c:pt idx="0">
                  <c:v>Stopa bezrobocia na ORSG</c:v>
                </c:pt>
              </c:strCache>
            </c:strRef>
          </c:tx>
          <c:spPr>
            <a:ln>
              <a:solidFill>
                <a:srgbClr val="824BB0"/>
              </a:solidFill>
            </a:ln>
          </c:spPr>
          <c:marker>
            <c:spPr>
              <a:solidFill>
                <a:srgbClr val="FEA6C5"/>
              </a:solidFill>
              <a:ln>
                <a:solidFill>
                  <a:srgbClr val="824BB0"/>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5608688222886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099932478055382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'!$C$5:$M$5</c:f>
              <c:numCache>
                <c:formatCode>0.0%</c:formatCode>
                <c:ptCount val="11"/>
                <c:pt idx="0">
                  <c:v>0.25600000000000001</c:v>
                </c:pt>
                <c:pt idx="1">
                  <c:v>0.24100000000000021</c:v>
                </c:pt>
                <c:pt idx="2">
                  <c:v>0.20100000000000001</c:v>
                </c:pt>
                <c:pt idx="3">
                  <c:v>0.14700000000000021</c:v>
                </c:pt>
                <c:pt idx="4">
                  <c:v>0.12100000000000002</c:v>
                </c:pt>
                <c:pt idx="5">
                  <c:v>0.15500000000000044</c:v>
                </c:pt>
                <c:pt idx="6">
                  <c:v>0.15900000000000186</c:v>
                </c:pt>
                <c:pt idx="7">
                  <c:v>0.14800000000000021</c:v>
                </c:pt>
                <c:pt idx="8">
                  <c:v>0.15100000000000041</c:v>
                </c:pt>
                <c:pt idx="9">
                  <c:v>0.15700000000000044</c:v>
                </c:pt>
                <c:pt idx="10">
                  <c:v>0.13600000000000001</c:v>
                </c:pt>
              </c:numCache>
            </c:numRef>
          </c:val>
          <c:smooth val="0"/>
        </c:ser>
        <c:ser>
          <c:idx val="2"/>
          <c:order val="2"/>
          <c:tx>
            <c:strRef>
              <c:f>'Bezrobocie '!$B$7</c:f>
              <c:strCache>
                <c:ptCount val="1"/>
                <c:pt idx="0">
                  <c:v>Stopa bezrobocia w woj. kujawsko-pomorskim</c:v>
                </c:pt>
              </c:strCache>
            </c:strRef>
          </c:tx>
          <c:spPr>
            <a:ln>
              <a:solidFill>
                <a:srgbClr val="B1059D"/>
              </a:solidFill>
            </a:ln>
          </c:spPr>
          <c:marker>
            <c:spPr>
              <a:solidFill>
                <a:srgbClr val="7030A0"/>
              </a:solidFill>
              <a:ln>
                <a:solidFill>
                  <a:srgbClr val="B1059D"/>
                </a:solidFill>
              </a:ln>
            </c:spPr>
          </c:marker>
          <c:dLbls>
            <c:dLbl>
              <c:idx val="0"/>
              <c:layout>
                <c:manualLayout>
                  <c:x val="-5.2099932478055382E-2"/>
                  <c:y val="-0.1000556039541837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099932478055382E-2"/>
                  <c:y val="-9.1161772491589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399054692775154E-2"/>
                  <c:y val="-6.892719383510416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'!$C$3:$M$3</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'Bezrobocie '!$C$7:$M$7</c:f>
              <c:numCache>
                <c:formatCode>0.0%</c:formatCode>
                <c:ptCount val="11"/>
                <c:pt idx="0">
                  <c:v>0.23600000000000004</c:v>
                </c:pt>
                <c:pt idx="1">
                  <c:v>0.223</c:v>
                </c:pt>
                <c:pt idx="2">
                  <c:v>0.192</c:v>
                </c:pt>
                <c:pt idx="3">
                  <c:v>0.14900000000000024</c:v>
                </c:pt>
                <c:pt idx="4">
                  <c:v>0.13300000000000001</c:v>
                </c:pt>
                <c:pt idx="5">
                  <c:v>0.16200000000000001</c:v>
                </c:pt>
                <c:pt idx="6">
                  <c:v>0.17</c:v>
                </c:pt>
                <c:pt idx="7">
                  <c:v>0.17</c:v>
                </c:pt>
                <c:pt idx="8">
                  <c:v>0.18100000000000024</c:v>
                </c:pt>
                <c:pt idx="9">
                  <c:v>0.18200000000000024</c:v>
                </c:pt>
                <c:pt idx="10">
                  <c:v>0.15700000000000044</c:v>
                </c:pt>
              </c:numCache>
            </c:numRef>
          </c:val>
          <c:smooth val="0"/>
        </c:ser>
        <c:dLbls>
          <c:showLegendKey val="0"/>
          <c:showVal val="0"/>
          <c:showCatName val="0"/>
          <c:showSerName val="0"/>
          <c:showPercent val="0"/>
          <c:showBubbleSize val="0"/>
        </c:dLbls>
        <c:marker val="1"/>
        <c:smooth val="0"/>
        <c:axId val="161655808"/>
        <c:axId val="161654272"/>
      </c:lineChart>
      <c:catAx>
        <c:axId val="161630464"/>
        <c:scaling>
          <c:orientation val="minMax"/>
        </c:scaling>
        <c:delete val="0"/>
        <c:axPos val="b"/>
        <c:numFmt formatCode="General" sourceLinked="0"/>
        <c:majorTickMark val="out"/>
        <c:minorTickMark val="none"/>
        <c:tickLblPos val="nextTo"/>
        <c:crossAx val="161652736"/>
        <c:crosses val="autoZero"/>
        <c:auto val="1"/>
        <c:lblAlgn val="ctr"/>
        <c:lblOffset val="100"/>
        <c:noMultiLvlLbl val="0"/>
      </c:catAx>
      <c:valAx>
        <c:axId val="161652736"/>
        <c:scaling>
          <c:orientation val="minMax"/>
        </c:scaling>
        <c:delete val="0"/>
        <c:axPos val="l"/>
        <c:numFmt formatCode="0" sourceLinked="1"/>
        <c:majorTickMark val="out"/>
        <c:minorTickMark val="out"/>
        <c:tickLblPos val="nextTo"/>
        <c:crossAx val="161630464"/>
        <c:crosses val="autoZero"/>
        <c:crossBetween val="between"/>
      </c:valAx>
      <c:valAx>
        <c:axId val="161654272"/>
        <c:scaling>
          <c:orientation val="minMax"/>
        </c:scaling>
        <c:delete val="0"/>
        <c:axPos val="r"/>
        <c:numFmt formatCode="0%" sourceLinked="0"/>
        <c:majorTickMark val="out"/>
        <c:minorTickMark val="none"/>
        <c:tickLblPos val="nextTo"/>
        <c:crossAx val="161655808"/>
        <c:crosses val="max"/>
        <c:crossBetween val="between"/>
      </c:valAx>
      <c:catAx>
        <c:axId val="161655808"/>
        <c:scaling>
          <c:orientation val="minMax"/>
        </c:scaling>
        <c:delete val="1"/>
        <c:axPos val="b"/>
        <c:numFmt formatCode="General" sourceLinked="1"/>
        <c:majorTickMark val="out"/>
        <c:minorTickMark val="none"/>
        <c:tickLblPos val="none"/>
        <c:crossAx val="161654272"/>
        <c:crosses val="autoZero"/>
        <c:auto val="1"/>
        <c:lblAlgn val="ctr"/>
        <c:lblOffset val="100"/>
        <c:noMultiLvlLbl val="0"/>
      </c:catAx>
      <c:spPr>
        <a:ln>
          <a:noFill/>
        </a:ln>
      </c:spPr>
    </c:plotArea>
    <c:legend>
      <c:legendPos val="b"/>
      <c:layout>
        <c:manualLayout>
          <c:xMode val="edge"/>
          <c:yMode val="edge"/>
          <c:x val="1.5258896149122464E-3"/>
          <c:y val="0.8386595945533426"/>
          <c:w val="0.97804186360568823"/>
          <c:h val="0.1330051486180247"/>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196850393700792E-2"/>
          <c:y val="3.0081811512536773E-2"/>
          <c:w val="0.9135531496062782"/>
          <c:h val="0.79525234597618"/>
        </c:manualLayout>
      </c:layout>
      <c:lineChart>
        <c:grouping val="standard"/>
        <c:varyColors val="0"/>
        <c:ser>
          <c:idx val="0"/>
          <c:order val="0"/>
          <c:tx>
            <c:strRef>
              <c:f>'Bezrobocie '!$B$47</c:f>
              <c:strCache>
                <c:ptCount val="1"/>
                <c:pt idx="0">
                  <c:v>OSGR</c:v>
                </c:pt>
              </c:strCache>
            </c:strRef>
          </c:tx>
          <c:spPr>
            <a:ln>
              <a:solidFill>
                <a:srgbClr val="B1059D"/>
              </a:solidFill>
            </a:ln>
          </c:spPr>
          <c:marker>
            <c:spPr>
              <a:solidFill>
                <a:srgbClr val="FEA6C5"/>
              </a:solidFill>
              <a:ln>
                <a:solidFill>
                  <a:srgbClr val="B1059D"/>
                </a:solidFill>
              </a:ln>
            </c:spPr>
          </c:marker>
          <c:dLbls>
            <c:dLbl>
              <c:idx val="0"/>
              <c:tx>
                <c:rich>
                  <a:bodyPr/>
                  <a:lstStyle/>
                  <a:p>
                    <a:r>
                      <a:rPr lang="en-US"/>
                      <a:t>17,6</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16,1</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13,3</a:t>
                    </a:r>
                  </a:p>
                </c:rich>
              </c:tx>
              <c:dLblPos val="t"/>
              <c:showLegendKey val="0"/>
              <c:showVal val="1"/>
              <c:showCatName val="0"/>
              <c:showSerName val="0"/>
              <c:showPercent val="0"/>
              <c:showBubbleSize val="0"/>
              <c:extLst>
                <c:ext xmlns:c15="http://schemas.microsoft.com/office/drawing/2012/chart" uri="{CE6537A1-D6FC-4f65-9D91-7224C49458BB}"/>
              </c:extLst>
            </c:dLbl>
            <c:dLbl>
              <c:idx val="3"/>
              <c:layout>
                <c:manualLayout>
                  <c:x val="-3.4486220472440952E-2"/>
                  <c:y val="-5.7803468208092533E-2"/>
                </c:manualLayout>
              </c:layout>
              <c:tx>
                <c:rich>
                  <a:bodyPr/>
                  <a:lstStyle/>
                  <a:p>
                    <a:r>
                      <a:rPr lang="en-US"/>
                      <a:t>9,3</a:t>
                    </a:r>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3375109361329779E-2"/>
                  <c:y val="1.618497109826697E-2"/>
                </c:manualLayout>
              </c:layout>
              <c:tx>
                <c:rich>
                  <a:bodyPr/>
                  <a:lstStyle/>
                  <a:p>
                    <a:r>
                      <a:rPr lang="en-US"/>
                      <a:t>7,7</a:t>
                    </a:r>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819553805774284E-2"/>
                  <c:y val="3.9306358381502891E-2"/>
                </c:manualLayout>
              </c:layout>
              <c:tx>
                <c:rich>
                  <a:bodyPr/>
                  <a:lstStyle/>
                  <a:p>
                    <a:r>
                      <a:rPr lang="en-US"/>
                      <a:t>9,8</a:t>
                    </a:r>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7819553805774313E-2"/>
                  <c:y val="3.0057803468208452E-2"/>
                </c:manualLayout>
              </c:layout>
              <c:tx>
                <c:rich>
                  <a:bodyPr/>
                  <a:lstStyle/>
                  <a:p>
                    <a:r>
                      <a:rPr lang="en-US"/>
                      <a:t>9,6</a:t>
                    </a:r>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2263998250218722E-2"/>
                  <c:y val="-3.4682080924855488E-2"/>
                </c:manualLayout>
              </c:layout>
              <c:tx>
                <c:rich>
                  <a:bodyPr/>
                  <a:lstStyle/>
                  <a:p>
                    <a:r>
                      <a:rPr lang="en-US"/>
                      <a:t>8,8</a:t>
                    </a:r>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7819553805774175E-2"/>
                  <c:y val="-3.0057803468208452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4862204724409527E-3"/>
                  <c:y val="-1.618497109826697E-2"/>
                </c:manualLayout>
              </c:layout>
              <c:tx>
                <c:rich>
                  <a:bodyPr/>
                  <a:lstStyle/>
                  <a:p>
                    <a:r>
                      <a:rPr lang="en-US"/>
                      <a:t>9,7</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'!$C$47:$L$47</c:f>
              <c:numCache>
                <c:formatCode>0.0%</c:formatCode>
                <c:ptCount val="10"/>
                <c:pt idx="0">
                  <c:v>0.17559952824007338</c:v>
                </c:pt>
                <c:pt idx="1">
                  <c:v>0.16126734724710903</c:v>
                </c:pt>
                <c:pt idx="2">
                  <c:v>0.13289470864319239</c:v>
                </c:pt>
                <c:pt idx="3">
                  <c:v>9.3199795866294247E-2</c:v>
                </c:pt>
                <c:pt idx="4">
                  <c:v>7.7078467268480527E-2</c:v>
                </c:pt>
                <c:pt idx="5">
                  <c:v>9.7577276524645026E-2</c:v>
                </c:pt>
                <c:pt idx="6">
                  <c:v>9.5654280120300264E-2</c:v>
                </c:pt>
                <c:pt idx="7">
                  <c:v>8.8461925359625798E-2</c:v>
                </c:pt>
                <c:pt idx="8">
                  <c:v>9.1573326909952263E-2</c:v>
                </c:pt>
                <c:pt idx="9">
                  <c:v>9.7006518065502534E-2</c:v>
                </c:pt>
              </c:numCache>
            </c:numRef>
          </c:val>
          <c:smooth val="0"/>
        </c:ser>
        <c:ser>
          <c:idx val="1"/>
          <c:order val="1"/>
          <c:tx>
            <c:strRef>
              <c:f>'Bezrobocie '!$B$48</c:f>
              <c:strCache>
                <c:ptCount val="1"/>
                <c:pt idx="0">
                  <c:v>Kujawsko-Pomorskie</c:v>
                </c:pt>
              </c:strCache>
            </c:strRef>
          </c:tx>
          <c:spPr>
            <a:ln>
              <a:solidFill>
                <a:srgbClr val="824BB0"/>
              </a:solidFill>
            </a:ln>
          </c:spPr>
          <c:marker>
            <c:spPr>
              <a:solidFill>
                <a:srgbClr val="9F7E96"/>
              </a:solidFill>
              <a:ln>
                <a:solidFill>
                  <a:srgbClr val="824BB0"/>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'!$C$48:$L$48</c:f>
              <c:numCache>
                <c:formatCode>0.0%</c:formatCode>
                <c:ptCount val="10"/>
                <c:pt idx="0">
                  <c:v>0.15132668474403541</c:v>
                </c:pt>
                <c:pt idx="1">
                  <c:v>0.14144095687661731</c:v>
                </c:pt>
                <c:pt idx="2">
                  <c:v>0.12021654766009029</c:v>
                </c:pt>
                <c:pt idx="3">
                  <c:v>9.2367085021517317E-2</c:v>
                </c:pt>
                <c:pt idx="4">
                  <c:v>8.2470155282290666E-2</c:v>
                </c:pt>
                <c:pt idx="5">
                  <c:v>0.10021241352722263</c:v>
                </c:pt>
                <c:pt idx="6">
                  <c:v>0.10273173061192373</c:v>
                </c:pt>
                <c:pt idx="7">
                  <c:v>0.10331205016208408</c:v>
                </c:pt>
                <c:pt idx="8">
                  <c:v>0.11074511636351222</c:v>
                </c:pt>
                <c:pt idx="9">
                  <c:v>0.11262263073924079</c:v>
                </c:pt>
              </c:numCache>
            </c:numRef>
          </c:val>
          <c:smooth val="0"/>
        </c:ser>
        <c:ser>
          <c:idx val="2"/>
          <c:order val="2"/>
          <c:tx>
            <c:strRef>
              <c:f>'Bezrobocie '!$B$49</c:f>
              <c:strCache>
                <c:ptCount val="1"/>
                <c:pt idx="0">
                  <c:v>Polska</c:v>
                </c:pt>
              </c:strCache>
            </c:strRef>
          </c:tx>
          <c:spPr>
            <a:ln>
              <a:solidFill>
                <a:srgbClr val="4F2D7F"/>
              </a:solidFill>
            </a:ln>
          </c:spPr>
          <c:marker>
            <c:spPr>
              <a:solidFill>
                <a:srgbClr val="C30045"/>
              </a:solidFill>
              <a:ln>
                <a:solidFill>
                  <a:srgbClr val="4F2D7F"/>
                </a:solidFill>
              </a:ln>
            </c:spPr>
          </c:marker>
          <c:cat>
            <c:strRef>
              <c:f>'Bezrobocie '!$C$46:$L$46</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'Bezrobocie '!$C$49:$L$49</c:f>
              <c:numCache>
                <c:formatCode>0.0%</c:formatCode>
                <c:ptCount val="10"/>
                <c:pt idx="0">
                  <c:v>0.12374802425470367</c:v>
                </c:pt>
                <c:pt idx="1">
                  <c:v>0.11362409902809396</c:v>
                </c:pt>
                <c:pt idx="2">
                  <c:v>9.4332208546230728E-2</c:v>
                </c:pt>
                <c:pt idx="3">
                  <c:v>7.1157259158939709E-2</c:v>
                </c:pt>
                <c:pt idx="4">
                  <c:v>5.9931823195769895E-2</c:v>
                </c:pt>
                <c:pt idx="5">
                  <c:v>7.6861840083042685E-2</c:v>
                </c:pt>
                <c:pt idx="6">
                  <c:v>7.8720386665040221E-2</c:v>
                </c:pt>
                <c:pt idx="7">
                  <c:v>8.0145272998671566E-2</c:v>
                </c:pt>
                <c:pt idx="8">
                  <c:v>8.684277755456711E-2</c:v>
                </c:pt>
                <c:pt idx="9">
                  <c:v>8.8357632453757398E-2</c:v>
                </c:pt>
              </c:numCache>
            </c:numRef>
          </c:val>
          <c:smooth val="0"/>
        </c:ser>
        <c:dLbls>
          <c:showLegendKey val="0"/>
          <c:showVal val="0"/>
          <c:showCatName val="0"/>
          <c:showSerName val="0"/>
          <c:showPercent val="0"/>
          <c:showBubbleSize val="0"/>
        </c:dLbls>
        <c:marker val="1"/>
        <c:smooth val="0"/>
        <c:axId val="161751808"/>
        <c:axId val="161753728"/>
      </c:lineChart>
      <c:catAx>
        <c:axId val="161751808"/>
        <c:scaling>
          <c:orientation val="minMax"/>
        </c:scaling>
        <c:delete val="0"/>
        <c:axPos val="b"/>
        <c:numFmt formatCode="General" sourceLinked="0"/>
        <c:majorTickMark val="out"/>
        <c:minorTickMark val="none"/>
        <c:tickLblPos val="nextTo"/>
        <c:crossAx val="161753728"/>
        <c:crosses val="autoZero"/>
        <c:auto val="1"/>
        <c:lblAlgn val="ctr"/>
        <c:lblOffset val="100"/>
        <c:noMultiLvlLbl val="0"/>
      </c:catAx>
      <c:valAx>
        <c:axId val="161753728"/>
        <c:scaling>
          <c:orientation val="minMax"/>
        </c:scaling>
        <c:delete val="1"/>
        <c:axPos val="l"/>
        <c:numFmt formatCode="General" sourceLinked="0"/>
        <c:majorTickMark val="out"/>
        <c:minorTickMark val="none"/>
        <c:tickLblPos val="none"/>
        <c:crossAx val="161751808"/>
        <c:crosses val="autoZero"/>
        <c:crossBetween val="between"/>
      </c:valAx>
    </c:plotArea>
    <c:legend>
      <c:legendPos val="r"/>
      <c:layout>
        <c:manualLayout>
          <c:xMode val="edge"/>
          <c:yMode val="edge"/>
          <c:x val="4.0305630155277133E-2"/>
          <c:y val="0.89987516305596449"/>
          <c:w val="0.92913888888888885"/>
          <c:h val="9.8260070092394708E-2"/>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C8EA9-AA40-4747-BB58-48641016CC74}" type="doc">
      <dgm:prSet loTypeId="urn:microsoft.com/office/officeart/2005/8/layout/radial1" loCatId="cycle" qsTypeId="urn:microsoft.com/office/officeart/2005/8/quickstyle/simple1" qsCatId="simple" csTypeId="urn:microsoft.com/office/officeart/2005/8/colors/accent4_1" csCatId="accent4" phldr="1"/>
      <dgm:spPr/>
      <dgm:t>
        <a:bodyPr/>
        <a:lstStyle/>
        <a:p>
          <a:endParaRPr lang="pl-PL"/>
        </a:p>
      </dgm:t>
    </dgm:pt>
    <dgm:pt modelId="{EA88519D-23C6-4D37-9FFF-F25F40C48ADD}">
      <dgm:prSet phldrT="[Tekst]" custT="1"/>
      <dgm:spPr>
        <a:ln>
          <a:solidFill>
            <a:srgbClr val="4F2D7F"/>
          </a:solidFill>
        </a:ln>
      </dgm:spPr>
      <dgm:t>
        <a:bodyPr/>
        <a:lstStyle/>
        <a:p>
          <a:pPr algn="ctr"/>
          <a:r>
            <a:rPr lang="pl-PL" sz="800" b="1">
              <a:latin typeface="Garamond" panose="02020404030301010803" pitchFamily="18" charset="0"/>
            </a:rPr>
            <a:t>Najważniejsze problemy i bariery rozwojowe</a:t>
          </a:r>
        </a:p>
        <a:p>
          <a:pPr algn="ctr"/>
          <a:r>
            <a:rPr lang="pl-PL" sz="800" b="1">
              <a:latin typeface="Garamond" panose="02020404030301010803" pitchFamily="18" charset="0"/>
            </a:rPr>
            <a:t>Potencjały i szanse obszaru</a:t>
          </a:r>
        </a:p>
      </dgm:t>
    </dgm:pt>
    <dgm:pt modelId="{D30D6E2A-0EB4-41EB-A084-17F88A3747EA}" type="parTrans" cxnId="{8A6C4254-B267-4769-B98D-1D8E10074905}">
      <dgm:prSet/>
      <dgm:spPr/>
      <dgm:t>
        <a:bodyPr/>
        <a:lstStyle/>
        <a:p>
          <a:pPr algn="ctr"/>
          <a:endParaRPr lang="pl-PL" sz="800">
            <a:latin typeface="Garamond" panose="02020404030301010803" pitchFamily="18" charset="0"/>
          </a:endParaRPr>
        </a:p>
      </dgm:t>
    </dgm:pt>
    <dgm:pt modelId="{BAB48321-FA9B-454C-BD5C-FFF4548F6DFF}" type="sibTrans" cxnId="{8A6C4254-B267-4769-B98D-1D8E10074905}">
      <dgm:prSet/>
      <dgm:spPr/>
      <dgm:t>
        <a:bodyPr/>
        <a:lstStyle/>
        <a:p>
          <a:pPr algn="ctr"/>
          <a:endParaRPr lang="pl-PL" sz="800">
            <a:latin typeface="Garamond" panose="02020404030301010803" pitchFamily="18" charset="0"/>
          </a:endParaRPr>
        </a:p>
      </dgm:t>
    </dgm:pt>
    <dgm:pt modelId="{C33A8E88-B737-488B-B312-B92D8254ACC3}">
      <dgm:prSet phldrT="[Tekst]" custT="1"/>
      <dgm:spPr>
        <a:ln>
          <a:solidFill>
            <a:srgbClr val="4F2D7F"/>
          </a:solidFill>
        </a:ln>
      </dgm:spPr>
      <dgm:t>
        <a:bodyPr/>
        <a:lstStyle/>
        <a:p>
          <a:pPr algn="ctr"/>
          <a:r>
            <a:rPr lang="pl-PL" sz="800">
              <a:latin typeface="Garamond" panose="02020404030301010803" pitchFamily="18" charset="0"/>
            </a:rPr>
            <a:t>Podział terytorialny i sytuacja demograficzna</a:t>
          </a:r>
        </a:p>
      </dgm:t>
    </dgm:pt>
    <dgm:pt modelId="{595920F1-B5D0-4EDB-9C98-2B48AA4115B2}" type="parTrans" cxnId="{F9D53C30-1C3D-4D6E-8BBF-CCCD26803840}">
      <dgm:prSet custT="1"/>
      <dgm:spPr>
        <a:ln>
          <a:solidFill>
            <a:srgbClr val="4F2D7F"/>
          </a:solidFill>
        </a:ln>
      </dgm:spPr>
      <dgm:t>
        <a:bodyPr/>
        <a:lstStyle/>
        <a:p>
          <a:pPr algn="ctr"/>
          <a:endParaRPr lang="pl-PL" sz="800">
            <a:latin typeface="Garamond" panose="02020404030301010803" pitchFamily="18" charset="0"/>
          </a:endParaRPr>
        </a:p>
      </dgm:t>
    </dgm:pt>
    <dgm:pt modelId="{7919BD42-13CB-457C-927D-284CE802D35E}" type="sibTrans" cxnId="{F9D53C30-1C3D-4D6E-8BBF-CCCD26803840}">
      <dgm:prSet/>
      <dgm:spPr/>
      <dgm:t>
        <a:bodyPr/>
        <a:lstStyle/>
        <a:p>
          <a:pPr algn="ctr"/>
          <a:endParaRPr lang="pl-PL" sz="800">
            <a:latin typeface="Garamond" panose="02020404030301010803" pitchFamily="18" charset="0"/>
          </a:endParaRPr>
        </a:p>
      </dgm:t>
    </dgm:pt>
    <dgm:pt modelId="{EA247A6E-7906-4264-AF3E-4CB62AB277F0}">
      <dgm:prSet phldrT="[Tekst]" custT="1"/>
      <dgm:spPr>
        <a:ln>
          <a:solidFill>
            <a:srgbClr val="4F2D7F"/>
          </a:solidFill>
        </a:ln>
      </dgm:spPr>
      <dgm:t>
        <a:bodyPr/>
        <a:lstStyle/>
        <a:p>
          <a:pPr algn="ctr"/>
          <a:r>
            <a:rPr lang="pl-PL" sz="800">
              <a:latin typeface="Garamond" panose="02020404030301010803" pitchFamily="18" charset="0"/>
            </a:rPr>
            <a:t>Gospodarka i rynek pracy</a:t>
          </a:r>
        </a:p>
      </dgm:t>
    </dgm:pt>
    <dgm:pt modelId="{A6CDDDFE-108B-423D-8ABF-F24A72A7266E}" type="parTrans" cxnId="{C40C97D3-D41B-4E92-B575-F623459DB7AE}">
      <dgm:prSet custT="1"/>
      <dgm:spPr>
        <a:ln>
          <a:solidFill>
            <a:srgbClr val="4F2D7F"/>
          </a:solidFill>
        </a:ln>
      </dgm:spPr>
      <dgm:t>
        <a:bodyPr/>
        <a:lstStyle/>
        <a:p>
          <a:pPr algn="ctr"/>
          <a:endParaRPr lang="pl-PL" sz="800">
            <a:latin typeface="Garamond" panose="02020404030301010803" pitchFamily="18" charset="0"/>
          </a:endParaRPr>
        </a:p>
      </dgm:t>
    </dgm:pt>
    <dgm:pt modelId="{4F752CAC-FBD7-4A2D-B83C-03D8DC503B7A}" type="sibTrans" cxnId="{C40C97D3-D41B-4E92-B575-F623459DB7AE}">
      <dgm:prSet/>
      <dgm:spPr/>
      <dgm:t>
        <a:bodyPr/>
        <a:lstStyle/>
        <a:p>
          <a:pPr algn="ctr"/>
          <a:endParaRPr lang="pl-PL" sz="800">
            <a:latin typeface="Garamond" panose="02020404030301010803" pitchFamily="18" charset="0"/>
          </a:endParaRPr>
        </a:p>
      </dgm:t>
    </dgm:pt>
    <dgm:pt modelId="{844C3DC3-9DCE-4551-B917-90C4DBB689E1}">
      <dgm:prSet phldrT="[Tekst]" custT="1"/>
      <dgm:spPr>
        <a:ln>
          <a:solidFill>
            <a:srgbClr val="4F2D7F"/>
          </a:solidFill>
        </a:ln>
      </dgm:spPr>
      <dgm:t>
        <a:bodyPr/>
        <a:lstStyle/>
        <a:p>
          <a:pPr algn="ctr"/>
          <a:r>
            <a:rPr lang="pl-PL" sz="800">
              <a:latin typeface="Garamond" panose="02020404030301010803" pitchFamily="18" charset="0"/>
            </a:rPr>
            <a:t>Pomoc społeczna</a:t>
          </a:r>
        </a:p>
      </dgm:t>
    </dgm:pt>
    <dgm:pt modelId="{5AFAD9E2-7118-4DBD-9504-799BDDD55FD9}" type="parTrans" cxnId="{B50C2F8D-EDDA-4858-96BF-49F7066BBB22}">
      <dgm:prSet custT="1"/>
      <dgm:spPr>
        <a:ln>
          <a:solidFill>
            <a:srgbClr val="4F2D7F"/>
          </a:solidFill>
        </a:ln>
      </dgm:spPr>
      <dgm:t>
        <a:bodyPr/>
        <a:lstStyle/>
        <a:p>
          <a:pPr algn="ctr"/>
          <a:endParaRPr lang="pl-PL" sz="800">
            <a:latin typeface="Garamond" panose="02020404030301010803" pitchFamily="18" charset="0"/>
          </a:endParaRPr>
        </a:p>
      </dgm:t>
    </dgm:pt>
    <dgm:pt modelId="{FD645390-BA2C-427A-B0CF-5C2EBF7BA21C}" type="sibTrans" cxnId="{B50C2F8D-EDDA-4858-96BF-49F7066BBB22}">
      <dgm:prSet/>
      <dgm:spPr/>
      <dgm:t>
        <a:bodyPr/>
        <a:lstStyle/>
        <a:p>
          <a:pPr algn="ctr"/>
          <a:endParaRPr lang="pl-PL" sz="800">
            <a:latin typeface="Garamond" panose="02020404030301010803" pitchFamily="18" charset="0"/>
          </a:endParaRPr>
        </a:p>
      </dgm:t>
    </dgm:pt>
    <dgm:pt modelId="{13788516-A844-43BD-8983-126838A08044}">
      <dgm:prSet phldrT="[Tekst]" custT="1"/>
      <dgm:spPr>
        <a:ln>
          <a:solidFill>
            <a:srgbClr val="4F2D7F"/>
          </a:solidFill>
        </a:ln>
      </dgm:spPr>
      <dgm:t>
        <a:bodyPr/>
        <a:lstStyle/>
        <a:p>
          <a:pPr algn="ctr"/>
          <a:r>
            <a:rPr lang="pl-PL" sz="800">
              <a:latin typeface="Garamond" panose="02020404030301010803" pitchFamily="18" charset="0"/>
            </a:rPr>
            <a:t>Ochrona zdrowia</a:t>
          </a:r>
        </a:p>
      </dgm:t>
    </dgm:pt>
    <dgm:pt modelId="{176BCC9E-AA54-463C-8911-EEF184020430}" type="parTrans" cxnId="{2A250E4D-DFB2-49B3-9EE5-F8F43F1313F4}">
      <dgm:prSet custT="1"/>
      <dgm:spPr>
        <a:ln>
          <a:solidFill>
            <a:srgbClr val="4F2D7F"/>
          </a:solidFill>
        </a:ln>
      </dgm:spPr>
      <dgm:t>
        <a:bodyPr/>
        <a:lstStyle/>
        <a:p>
          <a:pPr algn="ctr"/>
          <a:endParaRPr lang="pl-PL" sz="800">
            <a:latin typeface="Garamond" panose="02020404030301010803" pitchFamily="18" charset="0"/>
          </a:endParaRPr>
        </a:p>
      </dgm:t>
    </dgm:pt>
    <dgm:pt modelId="{D47CF80B-B746-41C3-A780-6E5AFDB31AC1}" type="sibTrans" cxnId="{2A250E4D-DFB2-49B3-9EE5-F8F43F1313F4}">
      <dgm:prSet/>
      <dgm:spPr/>
      <dgm:t>
        <a:bodyPr/>
        <a:lstStyle/>
        <a:p>
          <a:pPr algn="ctr"/>
          <a:endParaRPr lang="pl-PL" sz="800">
            <a:latin typeface="Garamond" panose="02020404030301010803" pitchFamily="18" charset="0"/>
          </a:endParaRPr>
        </a:p>
      </dgm:t>
    </dgm:pt>
    <dgm:pt modelId="{3E94CEAB-27F6-4106-8FD1-E74A0F1F4C8A}">
      <dgm:prSet phldrT="[Tekst]" custT="1"/>
      <dgm:spPr>
        <a:ln>
          <a:solidFill>
            <a:srgbClr val="4F2D7F"/>
          </a:solidFill>
        </a:ln>
      </dgm:spPr>
      <dgm:t>
        <a:bodyPr/>
        <a:lstStyle/>
        <a:p>
          <a:pPr algn="ctr"/>
          <a:r>
            <a:rPr lang="pl-PL" sz="800">
              <a:latin typeface="Garamond" panose="02020404030301010803" pitchFamily="18" charset="0"/>
            </a:rPr>
            <a:t>Edukacja</a:t>
          </a:r>
        </a:p>
      </dgm:t>
    </dgm:pt>
    <dgm:pt modelId="{A09043AC-DBFB-4CC2-8C0D-65F4488B8382}" type="parTrans" cxnId="{EEDD2B0B-26EC-4882-9B2E-F1B96CF4DB3C}">
      <dgm:prSet custT="1"/>
      <dgm:spPr>
        <a:ln>
          <a:solidFill>
            <a:srgbClr val="4F2D7F"/>
          </a:solidFill>
        </a:ln>
      </dgm:spPr>
      <dgm:t>
        <a:bodyPr/>
        <a:lstStyle/>
        <a:p>
          <a:pPr algn="ctr"/>
          <a:endParaRPr lang="pl-PL" sz="800">
            <a:latin typeface="Garamond" panose="02020404030301010803" pitchFamily="18" charset="0"/>
          </a:endParaRPr>
        </a:p>
      </dgm:t>
    </dgm:pt>
    <dgm:pt modelId="{BF1E7743-F2F4-45F9-ADC6-11A71E45D805}" type="sibTrans" cxnId="{EEDD2B0B-26EC-4882-9B2E-F1B96CF4DB3C}">
      <dgm:prSet/>
      <dgm:spPr/>
      <dgm:t>
        <a:bodyPr/>
        <a:lstStyle/>
        <a:p>
          <a:pPr algn="ctr"/>
          <a:endParaRPr lang="pl-PL" sz="800">
            <a:latin typeface="Garamond" panose="02020404030301010803" pitchFamily="18" charset="0"/>
          </a:endParaRPr>
        </a:p>
      </dgm:t>
    </dgm:pt>
    <dgm:pt modelId="{498478C5-3B72-44AF-BFE8-8D7EB9807F0F}">
      <dgm:prSet phldrT="[Tekst]" custT="1"/>
      <dgm:spPr>
        <a:ln>
          <a:solidFill>
            <a:srgbClr val="4F2D7F"/>
          </a:solidFill>
        </a:ln>
      </dgm:spPr>
      <dgm:t>
        <a:bodyPr/>
        <a:lstStyle/>
        <a:p>
          <a:pPr algn="ctr"/>
          <a:r>
            <a:rPr lang="pl-PL" sz="800">
              <a:latin typeface="Garamond" panose="02020404030301010803" pitchFamily="18" charset="0"/>
            </a:rPr>
            <a:t>Kultura</a:t>
          </a:r>
        </a:p>
      </dgm:t>
    </dgm:pt>
    <dgm:pt modelId="{02D2F2DC-0802-480B-BD08-23AED785B803}" type="parTrans" cxnId="{D08A1D1D-9DA3-4DAD-9989-80D2D206A134}">
      <dgm:prSet custT="1"/>
      <dgm:spPr>
        <a:ln>
          <a:solidFill>
            <a:srgbClr val="4F2D7F"/>
          </a:solidFill>
        </a:ln>
      </dgm:spPr>
      <dgm:t>
        <a:bodyPr/>
        <a:lstStyle/>
        <a:p>
          <a:pPr algn="ctr"/>
          <a:endParaRPr lang="pl-PL" sz="800">
            <a:latin typeface="Garamond" panose="02020404030301010803" pitchFamily="18" charset="0"/>
          </a:endParaRPr>
        </a:p>
      </dgm:t>
    </dgm:pt>
    <dgm:pt modelId="{33E9C550-7228-44EB-BA58-612A80D608F1}" type="sibTrans" cxnId="{D08A1D1D-9DA3-4DAD-9989-80D2D206A134}">
      <dgm:prSet/>
      <dgm:spPr/>
      <dgm:t>
        <a:bodyPr/>
        <a:lstStyle/>
        <a:p>
          <a:pPr algn="ctr"/>
          <a:endParaRPr lang="pl-PL" sz="800">
            <a:latin typeface="Garamond" panose="02020404030301010803" pitchFamily="18" charset="0"/>
          </a:endParaRPr>
        </a:p>
      </dgm:t>
    </dgm:pt>
    <dgm:pt modelId="{CC8148C9-7608-40AE-B9EC-4BD9692FBE95}">
      <dgm:prSet phldrT="[Tekst]" custT="1"/>
      <dgm:spPr>
        <a:ln>
          <a:solidFill>
            <a:srgbClr val="4F2D7F"/>
          </a:solidFill>
        </a:ln>
      </dgm:spPr>
      <dgm:t>
        <a:bodyPr/>
        <a:lstStyle/>
        <a:p>
          <a:pPr algn="ctr"/>
          <a:r>
            <a:rPr lang="pl-PL" sz="800">
              <a:latin typeface="Garamond" panose="02020404030301010803" pitchFamily="18" charset="0"/>
            </a:rPr>
            <a:t>Obszary problemowe wymagające rewitalizacji</a:t>
          </a:r>
        </a:p>
      </dgm:t>
    </dgm:pt>
    <dgm:pt modelId="{F8FE1020-1742-4350-B96E-AFC9C2987449}" type="parTrans" cxnId="{B616741B-51FD-4B9E-915A-98B93BD62F60}">
      <dgm:prSet custT="1"/>
      <dgm:spPr>
        <a:ln>
          <a:solidFill>
            <a:srgbClr val="4F2D7F"/>
          </a:solidFill>
        </a:ln>
      </dgm:spPr>
      <dgm:t>
        <a:bodyPr/>
        <a:lstStyle/>
        <a:p>
          <a:pPr algn="ctr"/>
          <a:endParaRPr lang="pl-PL" sz="800">
            <a:latin typeface="Garamond" panose="02020404030301010803" pitchFamily="18" charset="0"/>
          </a:endParaRPr>
        </a:p>
      </dgm:t>
    </dgm:pt>
    <dgm:pt modelId="{43B33F47-A589-4E43-8D29-37A0FE53FEB8}" type="sibTrans" cxnId="{B616741B-51FD-4B9E-915A-98B93BD62F60}">
      <dgm:prSet/>
      <dgm:spPr/>
      <dgm:t>
        <a:bodyPr/>
        <a:lstStyle/>
        <a:p>
          <a:pPr algn="ctr"/>
          <a:endParaRPr lang="pl-PL" sz="800">
            <a:latin typeface="Garamond" panose="02020404030301010803" pitchFamily="18" charset="0"/>
          </a:endParaRPr>
        </a:p>
      </dgm:t>
    </dgm:pt>
    <dgm:pt modelId="{6CD63DD9-F4D1-4B46-ACDD-BF33E7E3BDEE}">
      <dgm:prSet phldrT="[Tekst]" custT="1"/>
      <dgm:spPr>
        <a:ln>
          <a:solidFill>
            <a:srgbClr val="4F2D7F"/>
          </a:solidFill>
        </a:ln>
      </dgm:spPr>
      <dgm:t>
        <a:bodyPr/>
        <a:lstStyle/>
        <a:p>
          <a:pPr algn="ctr"/>
          <a:r>
            <a:rPr lang="pl-PL" sz="800">
              <a:latin typeface="Garamond" panose="02020404030301010803" pitchFamily="18" charset="0"/>
            </a:rPr>
            <a:t>Środowisko przyrodnicze</a:t>
          </a:r>
        </a:p>
      </dgm:t>
    </dgm:pt>
    <dgm:pt modelId="{9D70490E-DCAC-4399-BADF-64766FF11AD6}" type="parTrans" cxnId="{F97E8C4D-83C3-4FED-97DC-28A69C960FF0}">
      <dgm:prSet custT="1"/>
      <dgm:spPr>
        <a:ln>
          <a:solidFill>
            <a:srgbClr val="4F2D7F"/>
          </a:solidFill>
        </a:ln>
      </dgm:spPr>
      <dgm:t>
        <a:bodyPr/>
        <a:lstStyle/>
        <a:p>
          <a:pPr algn="ctr"/>
          <a:endParaRPr lang="pl-PL" sz="800">
            <a:latin typeface="Garamond" panose="02020404030301010803" pitchFamily="18" charset="0"/>
          </a:endParaRPr>
        </a:p>
      </dgm:t>
    </dgm:pt>
    <dgm:pt modelId="{DDDCC2B7-2FF9-4814-88A8-09BA4D1FCAC6}" type="sibTrans" cxnId="{F97E8C4D-83C3-4FED-97DC-28A69C960FF0}">
      <dgm:prSet/>
      <dgm:spPr/>
      <dgm:t>
        <a:bodyPr/>
        <a:lstStyle/>
        <a:p>
          <a:pPr algn="ctr"/>
          <a:endParaRPr lang="pl-PL" sz="800">
            <a:latin typeface="Garamond" panose="02020404030301010803" pitchFamily="18" charset="0"/>
          </a:endParaRPr>
        </a:p>
      </dgm:t>
    </dgm:pt>
    <dgm:pt modelId="{B1A96DD0-67C4-4FDD-B31B-B4A5EB570A28}">
      <dgm:prSet phldrT="[Tekst]" custT="1"/>
      <dgm:spPr>
        <a:ln>
          <a:solidFill>
            <a:srgbClr val="4F2D7F"/>
          </a:solidFill>
        </a:ln>
      </dgm:spPr>
      <dgm:t>
        <a:bodyPr/>
        <a:lstStyle/>
        <a:p>
          <a:pPr algn="ctr"/>
          <a:r>
            <a:rPr lang="pl-PL" sz="800">
              <a:latin typeface="Garamond" panose="02020404030301010803" pitchFamily="18" charset="0"/>
            </a:rPr>
            <a:t>Infrastruktura techniczna</a:t>
          </a:r>
        </a:p>
      </dgm:t>
    </dgm:pt>
    <dgm:pt modelId="{22A57D56-3D33-4530-AFEA-B315E6ABCFD7}" type="parTrans" cxnId="{2AED8A38-1DFC-4943-AD4B-4E2C3AAE44AD}">
      <dgm:prSet custT="1"/>
      <dgm:spPr>
        <a:ln>
          <a:solidFill>
            <a:srgbClr val="4F2D7F"/>
          </a:solidFill>
        </a:ln>
      </dgm:spPr>
      <dgm:t>
        <a:bodyPr/>
        <a:lstStyle/>
        <a:p>
          <a:pPr algn="ctr"/>
          <a:endParaRPr lang="pl-PL" sz="800">
            <a:latin typeface="Garamond" panose="02020404030301010803" pitchFamily="18" charset="0"/>
          </a:endParaRPr>
        </a:p>
      </dgm:t>
    </dgm:pt>
    <dgm:pt modelId="{66B7DED9-A363-4557-A871-78EB38B4F7CA}" type="sibTrans" cxnId="{2AED8A38-1DFC-4943-AD4B-4E2C3AAE44AD}">
      <dgm:prSet/>
      <dgm:spPr/>
      <dgm:t>
        <a:bodyPr/>
        <a:lstStyle/>
        <a:p>
          <a:pPr algn="ctr"/>
          <a:endParaRPr lang="pl-PL" sz="800">
            <a:latin typeface="Garamond" panose="02020404030301010803" pitchFamily="18" charset="0"/>
          </a:endParaRPr>
        </a:p>
      </dgm:t>
    </dgm:pt>
    <dgm:pt modelId="{63C4FC93-81FC-4F15-BA62-BD3A3ADACE77}">
      <dgm:prSet phldrT="[Tekst]" custT="1"/>
      <dgm:spPr>
        <a:ln>
          <a:solidFill>
            <a:srgbClr val="4F2D7F"/>
          </a:solidFill>
        </a:ln>
      </dgm:spPr>
      <dgm:t>
        <a:bodyPr/>
        <a:lstStyle/>
        <a:p>
          <a:pPr algn="ctr"/>
          <a:r>
            <a:rPr lang="pl-PL" sz="800">
              <a:latin typeface="Garamond" panose="02020404030301010803" pitchFamily="18" charset="0"/>
            </a:rPr>
            <a:t>Efektywność energetyczna</a:t>
          </a:r>
        </a:p>
      </dgm:t>
    </dgm:pt>
    <dgm:pt modelId="{15D637CB-173F-445D-BE7F-C899C24DFF22}" type="parTrans" cxnId="{05E91000-5ACB-4617-89F7-5238ADAFA32B}">
      <dgm:prSet/>
      <dgm:spPr/>
      <dgm:t>
        <a:bodyPr/>
        <a:lstStyle/>
        <a:p>
          <a:pPr algn="ctr"/>
          <a:endParaRPr lang="pl-PL"/>
        </a:p>
      </dgm:t>
    </dgm:pt>
    <dgm:pt modelId="{3A0C41BC-7FB0-4954-B03E-4371AA6B99C0}" type="sibTrans" cxnId="{05E91000-5ACB-4617-89F7-5238ADAFA32B}">
      <dgm:prSet/>
      <dgm:spPr/>
      <dgm:t>
        <a:bodyPr/>
        <a:lstStyle/>
        <a:p>
          <a:pPr algn="ctr"/>
          <a:endParaRPr lang="pl-PL"/>
        </a:p>
      </dgm:t>
    </dgm:pt>
    <dgm:pt modelId="{93CD918C-E6AC-460F-BB98-6EB6E1928DAA}" type="pres">
      <dgm:prSet presAssocID="{BB2C8EA9-AA40-4747-BB58-48641016CC74}" presName="cycle" presStyleCnt="0">
        <dgm:presLayoutVars>
          <dgm:chMax val="1"/>
          <dgm:dir/>
          <dgm:animLvl val="ctr"/>
          <dgm:resizeHandles val="exact"/>
        </dgm:presLayoutVars>
      </dgm:prSet>
      <dgm:spPr/>
      <dgm:t>
        <a:bodyPr/>
        <a:lstStyle/>
        <a:p>
          <a:endParaRPr lang="pl-PL"/>
        </a:p>
      </dgm:t>
    </dgm:pt>
    <dgm:pt modelId="{D5120FF2-57A1-4C83-871A-6DEEC438D8B2}" type="pres">
      <dgm:prSet presAssocID="{EA88519D-23C6-4D37-9FFF-F25F40C48ADD}" presName="centerShape" presStyleLbl="node0" presStyleIdx="0" presStyleCnt="1" custScaleX="236397" custScaleY="101266"/>
      <dgm:spPr/>
      <dgm:t>
        <a:bodyPr/>
        <a:lstStyle/>
        <a:p>
          <a:endParaRPr lang="pl-PL"/>
        </a:p>
      </dgm:t>
    </dgm:pt>
    <dgm:pt modelId="{ED43ED6F-F042-4B5C-A6CA-773FB756FEC4}" type="pres">
      <dgm:prSet presAssocID="{595920F1-B5D0-4EDB-9C98-2B48AA4115B2}" presName="Name9" presStyleLbl="parChTrans1D2" presStyleIdx="0" presStyleCnt="10"/>
      <dgm:spPr/>
      <dgm:t>
        <a:bodyPr/>
        <a:lstStyle/>
        <a:p>
          <a:endParaRPr lang="pl-PL"/>
        </a:p>
      </dgm:t>
    </dgm:pt>
    <dgm:pt modelId="{F5662CF7-4E7B-4765-A8B0-D8FE346CE85E}" type="pres">
      <dgm:prSet presAssocID="{595920F1-B5D0-4EDB-9C98-2B48AA4115B2}" presName="connTx" presStyleLbl="parChTrans1D2" presStyleIdx="0" presStyleCnt="10"/>
      <dgm:spPr/>
      <dgm:t>
        <a:bodyPr/>
        <a:lstStyle/>
        <a:p>
          <a:endParaRPr lang="pl-PL"/>
        </a:p>
      </dgm:t>
    </dgm:pt>
    <dgm:pt modelId="{15634350-AB96-4D2D-A443-E57EE732F7B8}" type="pres">
      <dgm:prSet presAssocID="{C33A8E88-B737-488B-B312-B92D8254ACC3}" presName="node" presStyleLbl="node1" presStyleIdx="0" presStyleCnt="10" custScaleX="129035">
        <dgm:presLayoutVars>
          <dgm:bulletEnabled val="1"/>
        </dgm:presLayoutVars>
      </dgm:prSet>
      <dgm:spPr/>
      <dgm:t>
        <a:bodyPr/>
        <a:lstStyle/>
        <a:p>
          <a:endParaRPr lang="pl-PL"/>
        </a:p>
      </dgm:t>
    </dgm:pt>
    <dgm:pt modelId="{E12C8E31-D423-489C-AEF7-9DDCF3D7FB70}" type="pres">
      <dgm:prSet presAssocID="{A6CDDDFE-108B-423D-8ABF-F24A72A7266E}" presName="Name9" presStyleLbl="parChTrans1D2" presStyleIdx="1" presStyleCnt="10"/>
      <dgm:spPr/>
      <dgm:t>
        <a:bodyPr/>
        <a:lstStyle/>
        <a:p>
          <a:endParaRPr lang="pl-PL"/>
        </a:p>
      </dgm:t>
    </dgm:pt>
    <dgm:pt modelId="{663850D1-F41D-48CD-A3E4-96669094534D}" type="pres">
      <dgm:prSet presAssocID="{A6CDDDFE-108B-423D-8ABF-F24A72A7266E}" presName="connTx" presStyleLbl="parChTrans1D2" presStyleIdx="1" presStyleCnt="10"/>
      <dgm:spPr/>
      <dgm:t>
        <a:bodyPr/>
        <a:lstStyle/>
        <a:p>
          <a:endParaRPr lang="pl-PL"/>
        </a:p>
      </dgm:t>
    </dgm:pt>
    <dgm:pt modelId="{21FA447B-E2D5-433F-9EB7-879AB4A9E12F}" type="pres">
      <dgm:prSet presAssocID="{EA247A6E-7906-4264-AF3E-4CB62AB277F0}" presName="node" presStyleLbl="node1" presStyleIdx="1" presStyleCnt="10">
        <dgm:presLayoutVars>
          <dgm:bulletEnabled val="1"/>
        </dgm:presLayoutVars>
      </dgm:prSet>
      <dgm:spPr/>
      <dgm:t>
        <a:bodyPr/>
        <a:lstStyle/>
        <a:p>
          <a:endParaRPr lang="pl-PL"/>
        </a:p>
      </dgm:t>
    </dgm:pt>
    <dgm:pt modelId="{E4A5160F-454F-47F3-A56A-EEE6ACE27E6B}" type="pres">
      <dgm:prSet presAssocID="{5AFAD9E2-7118-4DBD-9504-799BDDD55FD9}" presName="Name9" presStyleLbl="parChTrans1D2" presStyleIdx="2" presStyleCnt="10"/>
      <dgm:spPr/>
      <dgm:t>
        <a:bodyPr/>
        <a:lstStyle/>
        <a:p>
          <a:endParaRPr lang="pl-PL"/>
        </a:p>
      </dgm:t>
    </dgm:pt>
    <dgm:pt modelId="{EEC00B35-E590-4BC5-BDEF-F4735CD9E0DB}" type="pres">
      <dgm:prSet presAssocID="{5AFAD9E2-7118-4DBD-9504-799BDDD55FD9}" presName="connTx" presStyleLbl="parChTrans1D2" presStyleIdx="2" presStyleCnt="10"/>
      <dgm:spPr/>
      <dgm:t>
        <a:bodyPr/>
        <a:lstStyle/>
        <a:p>
          <a:endParaRPr lang="pl-PL"/>
        </a:p>
      </dgm:t>
    </dgm:pt>
    <dgm:pt modelId="{2C92EFED-6ADA-459D-888D-D4FF01063C94}" type="pres">
      <dgm:prSet presAssocID="{844C3DC3-9DCE-4551-B917-90C4DBB689E1}" presName="node" presStyleLbl="node1" presStyleIdx="2" presStyleCnt="10">
        <dgm:presLayoutVars>
          <dgm:bulletEnabled val="1"/>
        </dgm:presLayoutVars>
      </dgm:prSet>
      <dgm:spPr/>
      <dgm:t>
        <a:bodyPr/>
        <a:lstStyle/>
        <a:p>
          <a:endParaRPr lang="pl-PL"/>
        </a:p>
      </dgm:t>
    </dgm:pt>
    <dgm:pt modelId="{9008425F-2E4F-4BEC-AD50-E2C2436DAE7A}" type="pres">
      <dgm:prSet presAssocID="{176BCC9E-AA54-463C-8911-EEF184020430}" presName="Name9" presStyleLbl="parChTrans1D2" presStyleIdx="3" presStyleCnt="10"/>
      <dgm:spPr/>
      <dgm:t>
        <a:bodyPr/>
        <a:lstStyle/>
        <a:p>
          <a:endParaRPr lang="pl-PL"/>
        </a:p>
      </dgm:t>
    </dgm:pt>
    <dgm:pt modelId="{A37184BB-CE46-4879-9220-8046396D3F7C}" type="pres">
      <dgm:prSet presAssocID="{176BCC9E-AA54-463C-8911-EEF184020430}" presName="connTx" presStyleLbl="parChTrans1D2" presStyleIdx="3" presStyleCnt="10"/>
      <dgm:spPr/>
      <dgm:t>
        <a:bodyPr/>
        <a:lstStyle/>
        <a:p>
          <a:endParaRPr lang="pl-PL"/>
        </a:p>
      </dgm:t>
    </dgm:pt>
    <dgm:pt modelId="{17B40CFA-9BF8-48BA-822F-FBD07A36EFD5}" type="pres">
      <dgm:prSet presAssocID="{13788516-A844-43BD-8983-126838A08044}" presName="node" presStyleLbl="node1" presStyleIdx="3" presStyleCnt="10">
        <dgm:presLayoutVars>
          <dgm:bulletEnabled val="1"/>
        </dgm:presLayoutVars>
      </dgm:prSet>
      <dgm:spPr/>
      <dgm:t>
        <a:bodyPr/>
        <a:lstStyle/>
        <a:p>
          <a:endParaRPr lang="pl-PL"/>
        </a:p>
      </dgm:t>
    </dgm:pt>
    <dgm:pt modelId="{3989332B-8774-4ADA-A648-F9A8B8A06265}" type="pres">
      <dgm:prSet presAssocID="{A09043AC-DBFB-4CC2-8C0D-65F4488B8382}" presName="Name9" presStyleLbl="parChTrans1D2" presStyleIdx="4" presStyleCnt="10"/>
      <dgm:spPr/>
      <dgm:t>
        <a:bodyPr/>
        <a:lstStyle/>
        <a:p>
          <a:endParaRPr lang="pl-PL"/>
        </a:p>
      </dgm:t>
    </dgm:pt>
    <dgm:pt modelId="{BE6A1EBC-78DE-408B-B806-D226A2583362}" type="pres">
      <dgm:prSet presAssocID="{A09043AC-DBFB-4CC2-8C0D-65F4488B8382}" presName="connTx" presStyleLbl="parChTrans1D2" presStyleIdx="4" presStyleCnt="10"/>
      <dgm:spPr/>
      <dgm:t>
        <a:bodyPr/>
        <a:lstStyle/>
        <a:p>
          <a:endParaRPr lang="pl-PL"/>
        </a:p>
      </dgm:t>
    </dgm:pt>
    <dgm:pt modelId="{ACAD1135-4BA3-4B2E-9B97-E0224F4B1D7B}" type="pres">
      <dgm:prSet presAssocID="{3E94CEAB-27F6-4106-8FD1-E74A0F1F4C8A}" presName="node" presStyleLbl="node1" presStyleIdx="4" presStyleCnt="10">
        <dgm:presLayoutVars>
          <dgm:bulletEnabled val="1"/>
        </dgm:presLayoutVars>
      </dgm:prSet>
      <dgm:spPr/>
      <dgm:t>
        <a:bodyPr/>
        <a:lstStyle/>
        <a:p>
          <a:endParaRPr lang="pl-PL"/>
        </a:p>
      </dgm:t>
    </dgm:pt>
    <dgm:pt modelId="{6BFF7F9A-5AB8-4284-B30C-75BBEF57EE72}" type="pres">
      <dgm:prSet presAssocID="{02D2F2DC-0802-480B-BD08-23AED785B803}" presName="Name9" presStyleLbl="parChTrans1D2" presStyleIdx="5" presStyleCnt="10"/>
      <dgm:spPr/>
      <dgm:t>
        <a:bodyPr/>
        <a:lstStyle/>
        <a:p>
          <a:endParaRPr lang="pl-PL"/>
        </a:p>
      </dgm:t>
    </dgm:pt>
    <dgm:pt modelId="{EA72266E-1BF4-4288-B02B-9A9171E1F30B}" type="pres">
      <dgm:prSet presAssocID="{02D2F2DC-0802-480B-BD08-23AED785B803}" presName="connTx" presStyleLbl="parChTrans1D2" presStyleIdx="5" presStyleCnt="10"/>
      <dgm:spPr/>
      <dgm:t>
        <a:bodyPr/>
        <a:lstStyle/>
        <a:p>
          <a:endParaRPr lang="pl-PL"/>
        </a:p>
      </dgm:t>
    </dgm:pt>
    <dgm:pt modelId="{DDAC3574-C10E-4ED8-BB08-8B9D72F274F3}" type="pres">
      <dgm:prSet presAssocID="{498478C5-3B72-44AF-BFE8-8D7EB9807F0F}" presName="node" presStyleLbl="node1" presStyleIdx="5" presStyleCnt="10">
        <dgm:presLayoutVars>
          <dgm:bulletEnabled val="1"/>
        </dgm:presLayoutVars>
      </dgm:prSet>
      <dgm:spPr/>
      <dgm:t>
        <a:bodyPr/>
        <a:lstStyle/>
        <a:p>
          <a:endParaRPr lang="pl-PL"/>
        </a:p>
      </dgm:t>
    </dgm:pt>
    <dgm:pt modelId="{789A202D-A376-427F-B2A5-C396F1235558}" type="pres">
      <dgm:prSet presAssocID="{F8FE1020-1742-4350-B96E-AFC9C2987449}" presName="Name9" presStyleLbl="parChTrans1D2" presStyleIdx="6" presStyleCnt="10"/>
      <dgm:spPr/>
      <dgm:t>
        <a:bodyPr/>
        <a:lstStyle/>
        <a:p>
          <a:endParaRPr lang="pl-PL"/>
        </a:p>
      </dgm:t>
    </dgm:pt>
    <dgm:pt modelId="{BB6A7216-9799-4317-AEB3-4C82EF9C1612}" type="pres">
      <dgm:prSet presAssocID="{F8FE1020-1742-4350-B96E-AFC9C2987449}" presName="connTx" presStyleLbl="parChTrans1D2" presStyleIdx="6" presStyleCnt="10"/>
      <dgm:spPr/>
      <dgm:t>
        <a:bodyPr/>
        <a:lstStyle/>
        <a:p>
          <a:endParaRPr lang="pl-PL"/>
        </a:p>
      </dgm:t>
    </dgm:pt>
    <dgm:pt modelId="{B462CBE6-3C75-49C6-ADD9-EF0C0FE1F1ED}" type="pres">
      <dgm:prSet presAssocID="{CC8148C9-7608-40AE-B9EC-4BD9692FBE95}" presName="node" presStyleLbl="node1" presStyleIdx="6" presStyleCnt="10" custScaleX="113804">
        <dgm:presLayoutVars>
          <dgm:bulletEnabled val="1"/>
        </dgm:presLayoutVars>
      </dgm:prSet>
      <dgm:spPr/>
      <dgm:t>
        <a:bodyPr/>
        <a:lstStyle/>
        <a:p>
          <a:endParaRPr lang="pl-PL"/>
        </a:p>
      </dgm:t>
    </dgm:pt>
    <dgm:pt modelId="{9E6688C1-6275-40C8-B2E5-23B7ECE4FA27}" type="pres">
      <dgm:prSet presAssocID="{9D70490E-DCAC-4399-BADF-64766FF11AD6}" presName="Name9" presStyleLbl="parChTrans1D2" presStyleIdx="7" presStyleCnt="10"/>
      <dgm:spPr/>
      <dgm:t>
        <a:bodyPr/>
        <a:lstStyle/>
        <a:p>
          <a:endParaRPr lang="pl-PL"/>
        </a:p>
      </dgm:t>
    </dgm:pt>
    <dgm:pt modelId="{503F8CDA-7AC9-4BAE-9656-DF299C3C24F4}" type="pres">
      <dgm:prSet presAssocID="{9D70490E-DCAC-4399-BADF-64766FF11AD6}" presName="connTx" presStyleLbl="parChTrans1D2" presStyleIdx="7" presStyleCnt="10"/>
      <dgm:spPr/>
      <dgm:t>
        <a:bodyPr/>
        <a:lstStyle/>
        <a:p>
          <a:endParaRPr lang="pl-PL"/>
        </a:p>
      </dgm:t>
    </dgm:pt>
    <dgm:pt modelId="{BF45FA24-BFCD-47BE-9B69-B591596325B9}" type="pres">
      <dgm:prSet presAssocID="{6CD63DD9-F4D1-4B46-ACDD-BF33E7E3BDEE}" presName="node" presStyleLbl="node1" presStyleIdx="7" presStyleCnt="10" custScaleX="107696">
        <dgm:presLayoutVars>
          <dgm:bulletEnabled val="1"/>
        </dgm:presLayoutVars>
      </dgm:prSet>
      <dgm:spPr/>
      <dgm:t>
        <a:bodyPr/>
        <a:lstStyle/>
        <a:p>
          <a:endParaRPr lang="pl-PL"/>
        </a:p>
      </dgm:t>
    </dgm:pt>
    <dgm:pt modelId="{287CF212-B62B-43AB-B08B-16C792A6ED1E}" type="pres">
      <dgm:prSet presAssocID="{22A57D56-3D33-4530-AFEA-B315E6ABCFD7}" presName="Name9" presStyleLbl="parChTrans1D2" presStyleIdx="8" presStyleCnt="10"/>
      <dgm:spPr/>
      <dgm:t>
        <a:bodyPr/>
        <a:lstStyle/>
        <a:p>
          <a:endParaRPr lang="pl-PL"/>
        </a:p>
      </dgm:t>
    </dgm:pt>
    <dgm:pt modelId="{4BBB17F8-26CA-4C3A-8535-B3B6A0B3A580}" type="pres">
      <dgm:prSet presAssocID="{22A57D56-3D33-4530-AFEA-B315E6ABCFD7}" presName="connTx" presStyleLbl="parChTrans1D2" presStyleIdx="8" presStyleCnt="10"/>
      <dgm:spPr/>
      <dgm:t>
        <a:bodyPr/>
        <a:lstStyle/>
        <a:p>
          <a:endParaRPr lang="pl-PL"/>
        </a:p>
      </dgm:t>
    </dgm:pt>
    <dgm:pt modelId="{78C0088D-A52C-4D2D-9430-6081988EBB55}" type="pres">
      <dgm:prSet presAssocID="{B1A96DD0-67C4-4FDD-B31B-B4A5EB570A28}" presName="node" presStyleLbl="node1" presStyleIdx="8" presStyleCnt="10" custScaleX="106339">
        <dgm:presLayoutVars>
          <dgm:bulletEnabled val="1"/>
        </dgm:presLayoutVars>
      </dgm:prSet>
      <dgm:spPr/>
      <dgm:t>
        <a:bodyPr/>
        <a:lstStyle/>
        <a:p>
          <a:endParaRPr lang="pl-PL"/>
        </a:p>
      </dgm:t>
    </dgm:pt>
    <dgm:pt modelId="{875AF691-5E4F-4AAF-A98B-D168D4ABB70D}" type="pres">
      <dgm:prSet presAssocID="{15D637CB-173F-445D-BE7F-C899C24DFF22}" presName="Name9" presStyleLbl="parChTrans1D2" presStyleIdx="9" presStyleCnt="10"/>
      <dgm:spPr/>
      <dgm:t>
        <a:bodyPr/>
        <a:lstStyle/>
        <a:p>
          <a:endParaRPr lang="pl-PL"/>
        </a:p>
      </dgm:t>
    </dgm:pt>
    <dgm:pt modelId="{DED36D99-353F-44AC-9A76-E081D07D6AD2}" type="pres">
      <dgm:prSet presAssocID="{15D637CB-173F-445D-BE7F-C899C24DFF22}" presName="connTx" presStyleLbl="parChTrans1D2" presStyleIdx="9" presStyleCnt="10"/>
      <dgm:spPr/>
      <dgm:t>
        <a:bodyPr/>
        <a:lstStyle/>
        <a:p>
          <a:endParaRPr lang="pl-PL"/>
        </a:p>
      </dgm:t>
    </dgm:pt>
    <dgm:pt modelId="{E106EA8C-A49F-4F67-93A6-D8827BB4FFC8}" type="pres">
      <dgm:prSet presAssocID="{63C4FC93-81FC-4F15-BA62-BD3A3ADACE77}" presName="node" presStyleLbl="node1" presStyleIdx="9" presStyleCnt="10" custScaleX="111543">
        <dgm:presLayoutVars>
          <dgm:bulletEnabled val="1"/>
        </dgm:presLayoutVars>
      </dgm:prSet>
      <dgm:spPr/>
      <dgm:t>
        <a:bodyPr/>
        <a:lstStyle/>
        <a:p>
          <a:endParaRPr lang="pl-PL"/>
        </a:p>
      </dgm:t>
    </dgm:pt>
  </dgm:ptLst>
  <dgm:cxnLst>
    <dgm:cxn modelId="{B50C2F8D-EDDA-4858-96BF-49F7066BBB22}" srcId="{EA88519D-23C6-4D37-9FFF-F25F40C48ADD}" destId="{844C3DC3-9DCE-4551-B917-90C4DBB689E1}" srcOrd="2" destOrd="0" parTransId="{5AFAD9E2-7118-4DBD-9504-799BDDD55FD9}" sibTransId="{FD645390-BA2C-427A-B0CF-5C2EBF7BA21C}"/>
    <dgm:cxn modelId="{AE271308-415F-489C-8F05-80B9A62CED81}" type="presOf" srcId="{A6CDDDFE-108B-423D-8ABF-F24A72A7266E}" destId="{663850D1-F41D-48CD-A3E4-96669094534D}" srcOrd="1" destOrd="0" presId="urn:microsoft.com/office/officeart/2005/8/layout/radial1"/>
    <dgm:cxn modelId="{BC3A9FEF-DDD2-4721-8FC2-4D32D33562A3}" type="presOf" srcId="{13788516-A844-43BD-8983-126838A08044}" destId="{17B40CFA-9BF8-48BA-822F-FBD07A36EFD5}" srcOrd="0" destOrd="0" presId="urn:microsoft.com/office/officeart/2005/8/layout/radial1"/>
    <dgm:cxn modelId="{2AED8A38-1DFC-4943-AD4B-4E2C3AAE44AD}" srcId="{EA88519D-23C6-4D37-9FFF-F25F40C48ADD}" destId="{B1A96DD0-67C4-4FDD-B31B-B4A5EB570A28}" srcOrd="8" destOrd="0" parTransId="{22A57D56-3D33-4530-AFEA-B315E6ABCFD7}" sibTransId="{66B7DED9-A363-4557-A871-78EB38B4F7CA}"/>
    <dgm:cxn modelId="{7E421B47-C499-42F1-B805-A5D53FA66F08}" type="presOf" srcId="{3E94CEAB-27F6-4106-8FD1-E74A0F1F4C8A}" destId="{ACAD1135-4BA3-4B2E-9B97-E0224F4B1D7B}" srcOrd="0" destOrd="0" presId="urn:microsoft.com/office/officeart/2005/8/layout/radial1"/>
    <dgm:cxn modelId="{1D436788-351B-4415-93A6-C234F1DD15D5}" type="presOf" srcId="{02D2F2DC-0802-480B-BD08-23AED785B803}" destId="{EA72266E-1BF4-4288-B02B-9A9171E1F30B}" srcOrd="1" destOrd="0" presId="urn:microsoft.com/office/officeart/2005/8/layout/radial1"/>
    <dgm:cxn modelId="{912DD64C-846A-4F8E-A9AB-46AB07219EA2}" type="presOf" srcId="{A09043AC-DBFB-4CC2-8C0D-65F4488B8382}" destId="{3989332B-8774-4ADA-A648-F9A8B8A06265}" srcOrd="0" destOrd="0" presId="urn:microsoft.com/office/officeart/2005/8/layout/radial1"/>
    <dgm:cxn modelId="{D08A1D1D-9DA3-4DAD-9989-80D2D206A134}" srcId="{EA88519D-23C6-4D37-9FFF-F25F40C48ADD}" destId="{498478C5-3B72-44AF-BFE8-8D7EB9807F0F}" srcOrd="5" destOrd="0" parTransId="{02D2F2DC-0802-480B-BD08-23AED785B803}" sibTransId="{33E9C550-7228-44EB-BA58-612A80D608F1}"/>
    <dgm:cxn modelId="{EEDD2B0B-26EC-4882-9B2E-F1B96CF4DB3C}" srcId="{EA88519D-23C6-4D37-9FFF-F25F40C48ADD}" destId="{3E94CEAB-27F6-4106-8FD1-E74A0F1F4C8A}" srcOrd="4" destOrd="0" parTransId="{A09043AC-DBFB-4CC2-8C0D-65F4488B8382}" sibTransId="{BF1E7743-F2F4-45F9-ADC6-11A71E45D805}"/>
    <dgm:cxn modelId="{FB8D6E25-9D94-4050-8450-57B83B41543D}" type="presOf" srcId="{C33A8E88-B737-488B-B312-B92D8254ACC3}" destId="{15634350-AB96-4D2D-A443-E57EE732F7B8}" srcOrd="0" destOrd="0" presId="urn:microsoft.com/office/officeart/2005/8/layout/radial1"/>
    <dgm:cxn modelId="{26587AD7-F36D-4651-AA2F-18961A7A77CA}" type="presOf" srcId="{595920F1-B5D0-4EDB-9C98-2B48AA4115B2}" destId="{F5662CF7-4E7B-4765-A8B0-D8FE346CE85E}" srcOrd="1" destOrd="0" presId="urn:microsoft.com/office/officeart/2005/8/layout/radial1"/>
    <dgm:cxn modelId="{F97E8C4D-83C3-4FED-97DC-28A69C960FF0}" srcId="{EA88519D-23C6-4D37-9FFF-F25F40C48ADD}" destId="{6CD63DD9-F4D1-4B46-ACDD-BF33E7E3BDEE}" srcOrd="7" destOrd="0" parTransId="{9D70490E-DCAC-4399-BADF-64766FF11AD6}" sibTransId="{DDDCC2B7-2FF9-4814-88A8-09BA4D1FCAC6}"/>
    <dgm:cxn modelId="{B616741B-51FD-4B9E-915A-98B93BD62F60}" srcId="{EA88519D-23C6-4D37-9FFF-F25F40C48ADD}" destId="{CC8148C9-7608-40AE-B9EC-4BD9692FBE95}" srcOrd="6" destOrd="0" parTransId="{F8FE1020-1742-4350-B96E-AFC9C2987449}" sibTransId="{43B33F47-A589-4E43-8D29-37A0FE53FEB8}"/>
    <dgm:cxn modelId="{5652C704-E0E5-402A-8466-47835C7C50D5}" type="presOf" srcId="{EA247A6E-7906-4264-AF3E-4CB62AB277F0}" destId="{21FA447B-E2D5-433F-9EB7-879AB4A9E12F}" srcOrd="0" destOrd="0" presId="urn:microsoft.com/office/officeart/2005/8/layout/radial1"/>
    <dgm:cxn modelId="{012BD74B-9438-4E66-8E76-C1606D5B3934}" type="presOf" srcId="{595920F1-B5D0-4EDB-9C98-2B48AA4115B2}" destId="{ED43ED6F-F042-4B5C-A6CA-773FB756FEC4}" srcOrd="0" destOrd="0" presId="urn:microsoft.com/office/officeart/2005/8/layout/radial1"/>
    <dgm:cxn modelId="{9CCCC1FC-036A-40E2-BA91-69F05D4D6D6A}" type="presOf" srcId="{CC8148C9-7608-40AE-B9EC-4BD9692FBE95}" destId="{B462CBE6-3C75-49C6-ADD9-EF0C0FE1F1ED}" srcOrd="0" destOrd="0" presId="urn:microsoft.com/office/officeart/2005/8/layout/radial1"/>
    <dgm:cxn modelId="{D62C2B13-9887-401D-AB8E-52C7FD87D745}" type="presOf" srcId="{A6CDDDFE-108B-423D-8ABF-F24A72A7266E}" destId="{E12C8E31-D423-489C-AEF7-9DDCF3D7FB70}" srcOrd="0" destOrd="0" presId="urn:microsoft.com/office/officeart/2005/8/layout/radial1"/>
    <dgm:cxn modelId="{2A250E4D-DFB2-49B3-9EE5-F8F43F1313F4}" srcId="{EA88519D-23C6-4D37-9FFF-F25F40C48ADD}" destId="{13788516-A844-43BD-8983-126838A08044}" srcOrd="3" destOrd="0" parTransId="{176BCC9E-AA54-463C-8911-EEF184020430}" sibTransId="{D47CF80B-B746-41C3-A780-6E5AFDB31AC1}"/>
    <dgm:cxn modelId="{B4646A87-639C-47DE-89A2-57741527940A}" type="presOf" srcId="{22A57D56-3D33-4530-AFEA-B315E6ABCFD7}" destId="{287CF212-B62B-43AB-B08B-16C792A6ED1E}" srcOrd="0" destOrd="0" presId="urn:microsoft.com/office/officeart/2005/8/layout/radial1"/>
    <dgm:cxn modelId="{F8C71ED9-3CD8-4279-AC74-5D4463FEBC85}" type="presOf" srcId="{02D2F2DC-0802-480B-BD08-23AED785B803}" destId="{6BFF7F9A-5AB8-4284-B30C-75BBEF57EE72}" srcOrd="0" destOrd="0" presId="urn:microsoft.com/office/officeart/2005/8/layout/radial1"/>
    <dgm:cxn modelId="{C3C0E074-9CD7-426A-862C-C61DEB0DFCDB}" type="presOf" srcId="{176BCC9E-AA54-463C-8911-EEF184020430}" destId="{A37184BB-CE46-4879-9220-8046396D3F7C}" srcOrd="1" destOrd="0" presId="urn:microsoft.com/office/officeart/2005/8/layout/radial1"/>
    <dgm:cxn modelId="{F1345126-6D07-4D20-843F-14A1159F89C2}" type="presOf" srcId="{BB2C8EA9-AA40-4747-BB58-48641016CC74}" destId="{93CD918C-E6AC-460F-BB98-6EB6E1928DAA}" srcOrd="0" destOrd="0" presId="urn:microsoft.com/office/officeart/2005/8/layout/radial1"/>
    <dgm:cxn modelId="{B6A78CAC-A083-4222-A385-6628CF94E1F0}" type="presOf" srcId="{844C3DC3-9DCE-4551-B917-90C4DBB689E1}" destId="{2C92EFED-6ADA-459D-888D-D4FF01063C94}" srcOrd="0" destOrd="0" presId="urn:microsoft.com/office/officeart/2005/8/layout/radial1"/>
    <dgm:cxn modelId="{A68AF935-0F64-469A-9456-630591308B0C}" type="presOf" srcId="{22A57D56-3D33-4530-AFEA-B315E6ABCFD7}" destId="{4BBB17F8-26CA-4C3A-8535-B3B6A0B3A580}" srcOrd="1" destOrd="0" presId="urn:microsoft.com/office/officeart/2005/8/layout/radial1"/>
    <dgm:cxn modelId="{05E91000-5ACB-4617-89F7-5238ADAFA32B}" srcId="{EA88519D-23C6-4D37-9FFF-F25F40C48ADD}" destId="{63C4FC93-81FC-4F15-BA62-BD3A3ADACE77}" srcOrd="9" destOrd="0" parTransId="{15D637CB-173F-445D-BE7F-C899C24DFF22}" sibTransId="{3A0C41BC-7FB0-4954-B03E-4371AA6B99C0}"/>
    <dgm:cxn modelId="{588D69B1-EF5B-4BD6-AB0A-2B4772FFA5D2}" type="presOf" srcId="{5AFAD9E2-7118-4DBD-9504-799BDDD55FD9}" destId="{E4A5160F-454F-47F3-A56A-EEE6ACE27E6B}" srcOrd="0" destOrd="0" presId="urn:microsoft.com/office/officeart/2005/8/layout/radial1"/>
    <dgm:cxn modelId="{82E36796-6BC8-4AA5-A1E4-DEAC71855EA3}" type="presOf" srcId="{9D70490E-DCAC-4399-BADF-64766FF11AD6}" destId="{9E6688C1-6275-40C8-B2E5-23B7ECE4FA27}" srcOrd="0" destOrd="0" presId="urn:microsoft.com/office/officeart/2005/8/layout/radial1"/>
    <dgm:cxn modelId="{178E8857-E31F-4C35-99A7-594AAA325D2E}" type="presOf" srcId="{63C4FC93-81FC-4F15-BA62-BD3A3ADACE77}" destId="{E106EA8C-A49F-4F67-93A6-D8827BB4FFC8}" srcOrd="0" destOrd="0" presId="urn:microsoft.com/office/officeart/2005/8/layout/radial1"/>
    <dgm:cxn modelId="{C40C97D3-D41B-4E92-B575-F623459DB7AE}" srcId="{EA88519D-23C6-4D37-9FFF-F25F40C48ADD}" destId="{EA247A6E-7906-4264-AF3E-4CB62AB277F0}" srcOrd="1" destOrd="0" parTransId="{A6CDDDFE-108B-423D-8ABF-F24A72A7266E}" sibTransId="{4F752CAC-FBD7-4A2D-B83C-03D8DC503B7A}"/>
    <dgm:cxn modelId="{CF75FD99-8774-4891-A61D-98CA5AC35B12}" type="presOf" srcId="{A09043AC-DBFB-4CC2-8C0D-65F4488B8382}" destId="{BE6A1EBC-78DE-408B-B806-D226A2583362}" srcOrd="1" destOrd="0" presId="urn:microsoft.com/office/officeart/2005/8/layout/radial1"/>
    <dgm:cxn modelId="{BD84D5F1-61EC-45F1-8018-ACC873AE177F}" type="presOf" srcId="{9D70490E-DCAC-4399-BADF-64766FF11AD6}" destId="{503F8CDA-7AC9-4BAE-9656-DF299C3C24F4}" srcOrd="1" destOrd="0" presId="urn:microsoft.com/office/officeart/2005/8/layout/radial1"/>
    <dgm:cxn modelId="{7AAF4BE0-3415-48FD-9828-CF506EDB1364}" type="presOf" srcId="{6CD63DD9-F4D1-4B46-ACDD-BF33E7E3BDEE}" destId="{BF45FA24-BFCD-47BE-9B69-B591596325B9}" srcOrd="0" destOrd="0" presId="urn:microsoft.com/office/officeart/2005/8/layout/radial1"/>
    <dgm:cxn modelId="{CB684042-8284-4EAA-90BF-8AC4FE586C48}" type="presOf" srcId="{176BCC9E-AA54-463C-8911-EEF184020430}" destId="{9008425F-2E4F-4BEC-AD50-E2C2436DAE7A}" srcOrd="0" destOrd="0" presId="urn:microsoft.com/office/officeart/2005/8/layout/radial1"/>
    <dgm:cxn modelId="{40B95AEE-D7E5-4D40-AF19-E9F81BB97BB7}" type="presOf" srcId="{498478C5-3B72-44AF-BFE8-8D7EB9807F0F}" destId="{DDAC3574-C10E-4ED8-BB08-8B9D72F274F3}" srcOrd="0" destOrd="0" presId="urn:microsoft.com/office/officeart/2005/8/layout/radial1"/>
    <dgm:cxn modelId="{CB83C1CB-BA15-460D-9776-C0822F82CD1B}" type="presOf" srcId="{15D637CB-173F-445D-BE7F-C899C24DFF22}" destId="{DED36D99-353F-44AC-9A76-E081D07D6AD2}" srcOrd="1" destOrd="0" presId="urn:microsoft.com/office/officeart/2005/8/layout/radial1"/>
    <dgm:cxn modelId="{31DB1A05-DE64-423F-8F86-F05A1F2A1A5A}" type="presOf" srcId="{F8FE1020-1742-4350-B96E-AFC9C2987449}" destId="{789A202D-A376-427F-B2A5-C396F1235558}" srcOrd="0" destOrd="0" presId="urn:microsoft.com/office/officeart/2005/8/layout/radial1"/>
    <dgm:cxn modelId="{35FDC2D5-569E-44BE-85EC-576E48F769CF}" type="presOf" srcId="{F8FE1020-1742-4350-B96E-AFC9C2987449}" destId="{BB6A7216-9799-4317-AEB3-4C82EF9C1612}" srcOrd="1" destOrd="0" presId="urn:microsoft.com/office/officeart/2005/8/layout/radial1"/>
    <dgm:cxn modelId="{F9D53C30-1C3D-4D6E-8BBF-CCCD26803840}" srcId="{EA88519D-23C6-4D37-9FFF-F25F40C48ADD}" destId="{C33A8E88-B737-488B-B312-B92D8254ACC3}" srcOrd="0" destOrd="0" parTransId="{595920F1-B5D0-4EDB-9C98-2B48AA4115B2}" sibTransId="{7919BD42-13CB-457C-927D-284CE802D35E}"/>
    <dgm:cxn modelId="{F3B03E0C-E7A6-474A-BAE8-14E5681CD3B2}" type="presOf" srcId="{5AFAD9E2-7118-4DBD-9504-799BDDD55FD9}" destId="{EEC00B35-E590-4BC5-BDEF-F4735CD9E0DB}" srcOrd="1" destOrd="0" presId="urn:microsoft.com/office/officeart/2005/8/layout/radial1"/>
    <dgm:cxn modelId="{8A6C4254-B267-4769-B98D-1D8E10074905}" srcId="{BB2C8EA9-AA40-4747-BB58-48641016CC74}" destId="{EA88519D-23C6-4D37-9FFF-F25F40C48ADD}" srcOrd="0" destOrd="0" parTransId="{D30D6E2A-0EB4-41EB-A084-17F88A3747EA}" sibTransId="{BAB48321-FA9B-454C-BD5C-FFF4548F6DFF}"/>
    <dgm:cxn modelId="{48C6F9FC-97C7-4140-A5D9-1F607AF9E334}" type="presOf" srcId="{15D637CB-173F-445D-BE7F-C899C24DFF22}" destId="{875AF691-5E4F-4AAF-A98B-D168D4ABB70D}" srcOrd="0" destOrd="0" presId="urn:microsoft.com/office/officeart/2005/8/layout/radial1"/>
    <dgm:cxn modelId="{E559402E-C695-4342-9CD3-93A10E3A4371}" type="presOf" srcId="{B1A96DD0-67C4-4FDD-B31B-B4A5EB570A28}" destId="{78C0088D-A52C-4D2D-9430-6081988EBB55}" srcOrd="0" destOrd="0" presId="urn:microsoft.com/office/officeart/2005/8/layout/radial1"/>
    <dgm:cxn modelId="{0605E8D8-FBC1-43DB-A880-DDAD8DD07379}" type="presOf" srcId="{EA88519D-23C6-4D37-9FFF-F25F40C48ADD}" destId="{D5120FF2-57A1-4C83-871A-6DEEC438D8B2}" srcOrd="0" destOrd="0" presId="urn:microsoft.com/office/officeart/2005/8/layout/radial1"/>
    <dgm:cxn modelId="{F74F648F-191F-40BE-8931-0888E0E5F0F4}" type="presParOf" srcId="{93CD918C-E6AC-460F-BB98-6EB6E1928DAA}" destId="{D5120FF2-57A1-4C83-871A-6DEEC438D8B2}" srcOrd="0" destOrd="0" presId="urn:microsoft.com/office/officeart/2005/8/layout/radial1"/>
    <dgm:cxn modelId="{79EDEE43-E6B8-40FC-8EC1-292EFEEF0F5F}" type="presParOf" srcId="{93CD918C-E6AC-460F-BB98-6EB6E1928DAA}" destId="{ED43ED6F-F042-4B5C-A6CA-773FB756FEC4}" srcOrd="1" destOrd="0" presId="urn:microsoft.com/office/officeart/2005/8/layout/radial1"/>
    <dgm:cxn modelId="{C5961557-CD73-4A67-B543-B795D628E97E}" type="presParOf" srcId="{ED43ED6F-F042-4B5C-A6CA-773FB756FEC4}" destId="{F5662CF7-4E7B-4765-A8B0-D8FE346CE85E}" srcOrd="0" destOrd="0" presId="urn:microsoft.com/office/officeart/2005/8/layout/radial1"/>
    <dgm:cxn modelId="{38907AC0-25D8-4346-8E44-A60A17CE45B2}" type="presParOf" srcId="{93CD918C-E6AC-460F-BB98-6EB6E1928DAA}" destId="{15634350-AB96-4D2D-A443-E57EE732F7B8}" srcOrd="2" destOrd="0" presId="urn:microsoft.com/office/officeart/2005/8/layout/radial1"/>
    <dgm:cxn modelId="{494876B9-4249-4100-888B-DA3BD585F9FF}" type="presParOf" srcId="{93CD918C-E6AC-460F-BB98-6EB6E1928DAA}" destId="{E12C8E31-D423-489C-AEF7-9DDCF3D7FB70}" srcOrd="3" destOrd="0" presId="urn:microsoft.com/office/officeart/2005/8/layout/radial1"/>
    <dgm:cxn modelId="{5B7070FD-B87C-4331-9F78-9E5F28F90C86}" type="presParOf" srcId="{E12C8E31-D423-489C-AEF7-9DDCF3D7FB70}" destId="{663850D1-F41D-48CD-A3E4-96669094534D}" srcOrd="0" destOrd="0" presId="urn:microsoft.com/office/officeart/2005/8/layout/radial1"/>
    <dgm:cxn modelId="{D3B8139A-69DD-4136-8890-E79721BA5352}" type="presParOf" srcId="{93CD918C-E6AC-460F-BB98-6EB6E1928DAA}" destId="{21FA447B-E2D5-433F-9EB7-879AB4A9E12F}" srcOrd="4" destOrd="0" presId="urn:microsoft.com/office/officeart/2005/8/layout/radial1"/>
    <dgm:cxn modelId="{FB95BFC5-CF55-4480-A28C-82255B8FD690}" type="presParOf" srcId="{93CD918C-E6AC-460F-BB98-6EB6E1928DAA}" destId="{E4A5160F-454F-47F3-A56A-EEE6ACE27E6B}" srcOrd="5" destOrd="0" presId="urn:microsoft.com/office/officeart/2005/8/layout/radial1"/>
    <dgm:cxn modelId="{BB73DBD0-8A06-4AEC-A253-95680E6FBB3D}" type="presParOf" srcId="{E4A5160F-454F-47F3-A56A-EEE6ACE27E6B}" destId="{EEC00B35-E590-4BC5-BDEF-F4735CD9E0DB}" srcOrd="0" destOrd="0" presId="urn:microsoft.com/office/officeart/2005/8/layout/radial1"/>
    <dgm:cxn modelId="{E9BD1E12-8F47-463D-8E9E-8457806119AF}" type="presParOf" srcId="{93CD918C-E6AC-460F-BB98-6EB6E1928DAA}" destId="{2C92EFED-6ADA-459D-888D-D4FF01063C94}" srcOrd="6" destOrd="0" presId="urn:microsoft.com/office/officeart/2005/8/layout/radial1"/>
    <dgm:cxn modelId="{238AEAAD-1FAC-4917-A2AE-A223AC38C5AE}" type="presParOf" srcId="{93CD918C-E6AC-460F-BB98-6EB6E1928DAA}" destId="{9008425F-2E4F-4BEC-AD50-E2C2436DAE7A}" srcOrd="7" destOrd="0" presId="urn:microsoft.com/office/officeart/2005/8/layout/radial1"/>
    <dgm:cxn modelId="{9F8921A1-19CB-4507-B907-775289C35B01}" type="presParOf" srcId="{9008425F-2E4F-4BEC-AD50-E2C2436DAE7A}" destId="{A37184BB-CE46-4879-9220-8046396D3F7C}" srcOrd="0" destOrd="0" presId="urn:microsoft.com/office/officeart/2005/8/layout/radial1"/>
    <dgm:cxn modelId="{1E62018B-902D-4CB2-B8B6-41B4CC25CF32}" type="presParOf" srcId="{93CD918C-E6AC-460F-BB98-6EB6E1928DAA}" destId="{17B40CFA-9BF8-48BA-822F-FBD07A36EFD5}" srcOrd="8" destOrd="0" presId="urn:microsoft.com/office/officeart/2005/8/layout/radial1"/>
    <dgm:cxn modelId="{336418BD-2E25-4D3B-90C6-8E0AFF7520F0}" type="presParOf" srcId="{93CD918C-E6AC-460F-BB98-6EB6E1928DAA}" destId="{3989332B-8774-4ADA-A648-F9A8B8A06265}" srcOrd="9" destOrd="0" presId="urn:microsoft.com/office/officeart/2005/8/layout/radial1"/>
    <dgm:cxn modelId="{8000A38D-E781-4316-8E01-4501BD1C648F}" type="presParOf" srcId="{3989332B-8774-4ADA-A648-F9A8B8A06265}" destId="{BE6A1EBC-78DE-408B-B806-D226A2583362}" srcOrd="0" destOrd="0" presId="urn:microsoft.com/office/officeart/2005/8/layout/radial1"/>
    <dgm:cxn modelId="{6B8B38E7-A340-43C6-AEA4-4800431E7971}" type="presParOf" srcId="{93CD918C-E6AC-460F-BB98-6EB6E1928DAA}" destId="{ACAD1135-4BA3-4B2E-9B97-E0224F4B1D7B}" srcOrd="10" destOrd="0" presId="urn:microsoft.com/office/officeart/2005/8/layout/radial1"/>
    <dgm:cxn modelId="{6599C02B-5498-43D2-960F-5A629D9EC97D}" type="presParOf" srcId="{93CD918C-E6AC-460F-BB98-6EB6E1928DAA}" destId="{6BFF7F9A-5AB8-4284-B30C-75BBEF57EE72}" srcOrd="11" destOrd="0" presId="urn:microsoft.com/office/officeart/2005/8/layout/radial1"/>
    <dgm:cxn modelId="{865C7395-2E28-4D79-8182-7E8DF8D86E03}" type="presParOf" srcId="{6BFF7F9A-5AB8-4284-B30C-75BBEF57EE72}" destId="{EA72266E-1BF4-4288-B02B-9A9171E1F30B}" srcOrd="0" destOrd="0" presId="urn:microsoft.com/office/officeart/2005/8/layout/radial1"/>
    <dgm:cxn modelId="{9F0E77A2-68A7-4A85-BA28-05BD50F92EAE}" type="presParOf" srcId="{93CD918C-E6AC-460F-BB98-6EB6E1928DAA}" destId="{DDAC3574-C10E-4ED8-BB08-8B9D72F274F3}" srcOrd="12" destOrd="0" presId="urn:microsoft.com/office/officeart/2005/8/layout/radial1"/>
    <dgm:cxn modelId="{D6B629FC-3A38-456E-9EC8-590E0DC07B77}" type="presParOf" srcId="{93CD918C-E6AC-460F-BB98-6EB6E1928DAA}" destId="{789A202D-A376-427F-B2A5-C396F1235558}" srcOrd="13" destOrd="0" presId="urn:microsoft.com/office/officeart/2005/8/layout/radial1"/>
    <dgm:cxn modelId="{0A6245A9-1205-483A-AF7F-0EB9E97CFA30}" type="presParOf" srcId="{789A202D-A376-427F-B2A5-C396F1235558}" destId="{BB6A7216-9799-4317-AEB3-4C82EF9C1612}" srcOrd="0" destOrd="0" presId="urn:microsoft.com/office/officeart/2005/8/layout/radial1"/>
    <dgm:cxn modelId="{D8ACEDDB-ABE4-464D-A423-51EFFF5D4D18}" type="presParOf" srcId="{93CD918C-E6AC-460F-BB98-6EB6E1928DAA}" destId="{B462CBE6-3C75-49C6-ADD9-EF0C0FE1F1ED}" srcOrd="14" destOrd="0" presId="urn:microsoft.com/office/officeart/2005/8/layout/radial1"/>
    <dgm:cxn modelId="{EE519B94-ECCC-4270-9FD3-296232E44BB0}" type="presParOf" srcId="{93CD918C-E6AC-460F-BB98-6EB6E1928DAA}" destId="{9E6688C1-6275-40C8-B2E5-23B7ECE4FA27}" srcOrd="15" destOrd="0" presId="urn:microsoft.com/office/officeart/2005/8/layout/radial1"/>
    <dgm:cxn modelId="{62350C1E-B20F-4249-963F-DED4CF7906E8}" type="presParOf" srcId="{9E6688C1-6275-40C8-B2E5-23B7ECE4FA27}" destId="{503F8CDA-7AC9-4BAE-9656-DF299C3C24F4}" srcOrd="0" destOrd="0" presId="urn:microsoft.com/office/officeart/2005/8/layout/radial1"/>
    <dgm:cxn modelId="{23049AD9-4EE9-431C-991D-0B2500C6BCEC}" type="presParOf" srcId="{93CD918C-E6AC-460F-BB98-6EB6E1928DAA}" destId="{BF45FA24-BFCD-47BE-9B69-B591596325B9}" srcOrd="16" destOrd="0" presId="urn:microsoft.com/office/officeart/2005/8/layout/radial1"/>
    <dgm:cxn modelId="{8B4B3C33-217D-44EC-9FCA-DAD757F03FAD}" type="presParOf" srcId="{93CD918C-E6AC-460F-BB98-6EB6E1928DAA}" destId="{287CF212-B62B-43AB-B08B-16C792A6ED1E}" srcOrd="17" destOrd="0" presId="urn:microsoft.com/office/officeart/2005/8/layout/radial1"/>
    <dgm:cxn modelId="{B9F3DA26-7745-48C6-891D-8EAED62CDBDB}" type="presParOf" srcId="{287CF212-B62B-43AB-B08B-16C792A6ED1E}" destId="{4BBB17F8-26CA-4C3A-8535-B3B6A0B3A580}" srcOrd="0" destOrd="0" presId="urn:microsoft.com/office/officeart/2005/8/layout/radial1"/>
    <dgm:cxn modelId="{B1397516-CDF1-4AD6-A042-741844BD6158}" type="presParOf" srcId="{93CD918C-E6AC-460F-BB98-6EB6E1928DAA}" destId="{78C0088D-A52C-4D2D-9430-6081988EBB55}" srcOrd="18" destOrd="0" presId="urn:microsoft.com/office/officeart/2005/8/layout/radial1"/>
    <dgm:cxn modelId="{88F7F71A-1678-480A-8671-828E3B0D83E1}" type="presParOf" srcId="{93CD918C-E6AC-460F-BB98-6EB6E1928DAA}" destId="{875AF691-5E4F-4AAF-A98B-D168D4ABB70D}" srcOrd="19" destOrd="0" presId="urn:microsoft.com/office/officeart/2005/8/layout/radial1"/>
    <dgm:cxn modelId="{C7724F73-E9DB-4CD0-B9E4-5F6CBB08839D}" type="presParOf" srcId="{875AF691-5E4F-4AAF-A98B-D168D4ABB70D}" destId="{DED36D99-353F-44AC-9A76-E081D07D6AD2}" srcOrd="0" destOrd="0" presId="urn:microsoft.com/office/officeart/2005/8/layout/radial1"/>
    <dgm:cxn modelId="{21A540A0-C5CF-4301-B78B-0849DD39109B}" type="presParOf" srcId="{93CD918C-E6AC-460F-BB98-6EB6E1928DAA}" destId="{E106EA8C-A49F-4F67-93A6-D8827BB4FFC8}" srcOrd="20" destOrd="0" presId="urn:microsoft.com/office/officeart/2005/8/layout/radial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D247FC-316C-4129-852A-FEB917ABAA5B}" type="doc">
      <dgm:prSet loTypeId="urn:microsoft.com/office/officeart/2005/8/layout/chevron1" loCatId="process" qsTypeId="urn:microsoft.com/office/officeart/2005/8/quickstyle/simple1" qsCatId="simple" csTypeId="urn:microsoft.com/office/officeart/2005/8/colors/accent0_1" csCatId="mainScheme" phldr="1"/>
      <dgm:spPr/>
    </dgm:pt>
    <dgm:pt modelId="{AEBD616B-84F4-4BA6-A287-287EE556AE4A}">
      <dgm:prSet phldrT="[Tekst]" custT="1"/>
      <dgm:spPr>
        <a:ln>
          <a:solidFill>
            <a:srgbClr val="4F2D7F"/>
          </a:solidFill>
        </a:ln>
      </dgm:spPr>
      <dgm:t>
        <a:bodyPr/>
        <a:lstStyle/>
        <a:p>
          <a:pPr algn="ctr"/>
          <a:r>
            <a:rPr lang="pl-PL" sz="800">
              <a:latin typeface="Garamond" pitchFamily="18" charset="0"/>
            </a:rPr>
            <a:t>Diagnoza</a:t>
          </a:r>
        </a:p>
      </dgm:t>
    </dgm:pt>
    <dgm:pt modelId="{A022F0D8-FB64-41C5-A735-DFBBE73C99BF}" type="parTrans" cxnId="{36C406F8-C684-4157-B881-3F7A76C08BBA}">
      <dgm:prSet/>
      <dgm:spPr/>
      <dgm:t>
        <a:bodyPr/>
        <a:lstStyle/>
        <a:p>
          <a:pPr algn="ctr"/>
          <a:endParaRPr lang="pl-PL" sz="800">
            <a:latin typeface="Garamond" pitchFamily="18" charset="0"/>
          </a:endParaRPr>
        </a:p>
      </dgm:t>
    </dgm:pt>
    <dgm:pt modelId="{0D679D70-41FD-4D57-849A-A33E20956938}" type="sibTrans" cxnId="{36C406F8-C684-4157-B881-3F7A76C08BBA}">
      <dgm:prSet/>
      <dgm:spPr/>
      <dgm:t>
        <a:bodyPr/>
        <a:lstStyle/>
        <a:p>
          <a:pPr algn="ctr"/>
          <a:endParaRPr lang="pl-PL" sz="800">
            <a:latin typeface="Garamond" pitchFamily="18" charset="0"/>
          </a:endParaRPr>
        </a:p>
      </dgm:t>
    </dgm:pt>
    <dgm:pt modelId="{2E6DA657-87B8-4A8E-BF6D-6E63EF5F8E56}">
      <dgm:prSet phldrT="[Tekst]" custT="1"/>
      <dgm:spPr>
        <a:ln>
          <a:solidFill>
            <a:srgbClr val="4F2D7F"/>
          </a:solidFill>
        </a:ln>
      </dgm:spPr>
      <dgm:t>
        <a:bodyPr/>
        <a:lstStyle/>
        <a:p>
          <a:pPr algn="ctr"/>
          <a:r>
            <a:rPr lang="pl-PL" sz="800">
              <a:latin typeface="Garamond" pitchFamily="18" charset="0"/>
            </a:rPr>
            <a:t>Priorytety inwestycyjne</a:t>
          </a:r>
        </a:p>
      </dgm:t>
    </dgm:pt>
    <dgm:pt modelId="{D58A9C5D-2D56-4691-98F7-484D0FE9AF53}" type="parTrans" cxnId="{8A1DA498-71DE-4163-A9EF-2E944EB835A2}">
      <dgm:prSet/>
      <dgm:spPr/>
      <dgm:t>
        <a:bodyPr/>
        <a:lstStyle/>
        <a:p>
          <a:pPr algn="ctr"/>
          <a:endParaRPr lang="pl-PL" sz="800">
            <a:latin typeface="Garamond" pitchFamily="18" charset="0"/>
          </a:endParaRPr>
        </a:p>
      </dgm:t>
    </dgm:pt>
    <dgm:pt modelId="{5E05A786-1BD2-4798-8B43-DAF062D82237}" type="sibTrans" cxnId="{8A1DA498-71DE-4163-A9EF-2E944EB835A2}">
      <dgm:prSet/>
      <dgm:spPr/>
      <dgm:t>
        <a:bodyPr/>
        <a:lstStyle/>
        <a:p>
          <a:pPr algn="ctr"/>
          <a:endParaRPr lang="pl-PL" sz="800">
            <a:latin typeface="Garamond" pitchFamily="18" charset="0"/>
          </a:endParaRPr>
        </a:p>
      </dgm:t>
    </dgm:pt>
    <dgm:pt modelId="{1DA7644A-0AD2-47BA-B122-262986B9B15E}">
      <dgm:prSet custT="1"/>
      <dgm:spPr>
        <a:ln>
          <a:solidFill>
            <a:srgbClr val="4F2D7F"/>
          </a:solidFill>
        </a:ln>
      </dgm:spPr>
      <dgm:t>
        <a:bodyPr/>
        <a:lstStyle/>
        <a:p>
          <a:pPr algn="ctr"/>
          <a:r>
            <a:rPr lang="pl-PL" sz="800">
              <a:latin typeface="Garamond" pitchFamily="18" charset="0"/>
            </a:rPr>
            <a:t>Cele rozwojowe</a:t>
          </a:r>
        </a:p>
      </dgm:t>
    </dgm:pt>
    <dgm:pt modelId="{F74BFF01-7B5F-4477-929E-33245063E291}" type="parTrans" cxnId="{CD080438-A948-40BC-9366-14687410D5CD}">
      <dgm:prSet/>
      <dgm:spPr/>
      <dgm:t>
        <a:bodyPr/>
        <a:lstStyle/>
        <a:p>
          <a:pPr algn="ctr"/>
          <a:endParaRPr lang="pl-PL" sz="800">
            <a:latin typeface="Garamond" pitchFamily="18" charset="0"/>
          </a:endParaRPr>
        </a:p>
      </dgm:t>
    </dgm:pt>
    <dgm:pt modelId="{190191E2-2756-48B5-ACCA-2B7B55D7B140}" type="sibTrans" cxnId="{CD080438-A948-40BC-9366-14687410D5CD}">
      <dgm:prSet/>
      <dgm:spPr/>
      <dgm:t>
        <a:bodyPr/>
        <a:lstStyle/>
        <a:p>
          <a:pPr algn="ctr"/>
          <a:endParaRPr lang="pl-PL" sz="800">
            <a:latin typeface="Garamond" pitchFamily="18" charset="0"/>
          </a:endParaRPr>
        </a:p>
      </dgm:t>
    </dgm:pt>
    <dgm:pt modelId="{F80F8E83-60B7-4D46-8D4A-5F3E973FC974}">
      <dgm:prSet custT="1"/>
      <dgm:spPr>
        <a:ln>
          <a:solidFill>
            <a:srgbClr val="4F2D7F"/>
          </a:solidFill>
        </a:ln>
      </dgm:spPr>
      <dgm:t>
        <a:bodyPr/>
        <a:lstStyle/>
        <a:p>
          <a:pPr algn="ctr"/>
          <a:r>
            <a:rPr lang="pl-PL" sz="800">
              <a:latin typeface="Garamond" pitchFamily="18" charset="0"/>
            </a:rPr>
            <a:t>Główne problemy rozwojowe, uwarunkowania i potencjały </a:t>
          </a:r>
        </a:p>
      </dgm:t>
    </dgm:pt>
    <dgm:pt modelId="{0EB8B519-5704-41D4-B735-444DD2E23ECE}" type="parTrans" cxnId="{F2208E4B-5267-478A-B40B-B2E0152FEFD3}">
      <dgm:prSet/>
      <dgm:spPr/>
      <dgm:t>
        <a:bodyPr/>
        <a:lstStyle/>
        <a:p>
          <a:pPr algn="ctr"/>
          <a:endParaRPr lang="pl-PL" sz="800">
            <a:latin typeface="Garamond" pitchFamily="18" charset="0"/>
          </a:endParaRPr>
        </a:p>
      </dgm:t>
    </dgm:pt>
    <dgm:pt modelId="{2707E9A5-150B-4B47-BE78-360EA277D92B}" type="sibTrans" cxnId="{F2208E4B-5267-478A-B40B-B2E0152FEFD3}">
      <dgm:prSet/>
      <dgm:spPr/>
      <dgm:t>
        <a:bodyPr/>
        <a:lstStyle/>
        <a:p>
          <a:pPr algn="ctr"/>
          <a:endParaRPr lang="pl-PL" sz="800">
            <a:latin typeface="Garamond" pitchFamily="18" charset="0"/>
          </a:endParaRPr>
        </a:p>
      </dgm:t>
    </dgm:pt>
    <dgm:pt modelId="{8A097D56-70D4-49F1-9B63-6C554B8BAB7D}">
      <dgm:prSet phldrT="[Tekst]" custT="1"/>
      <dgm:spPr>
        <a:ln>
          <a:solidFill>
            <a:srgbClr val="4F2D7F"/>
          </a:solidFill>
        </a:ln>
      </dgm:spPr>
      <dgm:t>
        <a:bodyPr/>
        <a:lstStyle/>
        <a:p>
          <a:pPr algn="ctr"/>
          <a:r>
            <a:rPr lang="pl-PL" sz="800">
              <a:latin typeface="Garamond" pitchFamily="18" charset="0"/>
            </a:rPr>
            <a:t>Lista przedsięwzięć oraz instrumenty realizacji</a:t>
          </a:r>
        </a:p>
      </dgm:t>
    </dgm:pt>
    <dgm:pt modelId="{19EBA2E2-B42C-4280-BFBF-2F40254380EA}" type="parTrans" cxnId="{D661FAD6-8B0B-419F-BB66-4F9B3CD9A5C6}">
      <dgm:prSet/>
      <dgm:spPr/>
      <dgm:t>
        <a:bodyPr/>
        <a:lstStyle/>
        <a:p>
          <a:pPr algn="ctr"/>
          <a:endParaRPr lang="pl-PL" sz="800">
            <a:latin typeface="Garamond" pitchFamily="18" charset="0"/>
          </a:endParaRPr>
        </a:p>
      </dgm:t>
    </dgm:pt>
    <dgm:pt modelId="{A7783ED2-977A-41C0-AABE-429C21C4EC6A}" type="sibTrans" cxnId="{D661FAD6-8B0B-419F-BB66-4F9B3CD9A5C6}">
      <dgm:prSet/>
      <dgm:spPr/>
      <dgm:t>
        <a:bodyPr/>
        <a:lstStyle/>
        <a:p>
          <a:pPr algn="ctr"/>
          <a:endParaRPr lang="pl-PL" sz="800">
            <a:latin typeface="Garamond" pitchFamily="18" charset="0"/>
          </a:endParaRPr>
        </a:p>
      </dgm:t>
    </dgm:pt>
    <dgm:pt modelId="{B805B65D-6C18-4817-A139-F35E95E6A21E}" type="pres">
      <dgm:prSet presAssocID="{72D247FC-316C-4129-852A-FEB917ABAA5B}" presName="Name0" presStyleCnt="0">
        <dgm:presLayoutVars>
          <dgm:dir/>
          <dgm:animLvl val="lvl"/>
          <dgm:resizeHandles val="exact"/>
        </dgm:presLayoutVars>
      </dgm:prSet>
      <dgm:spPr/>
    </dgm:pt>
    <dgm:pt modelId="{7B7DC29B-C611-4EC4-A844-AC7F1CD723BB}" type="pres">
      <dgm:prSet presAssocID="{AEBD616B-84F4-4BA6-A287-287EE556AE4A}" presName="parTxOnly" presStyleLbl="node1" presStyleIdx="0" presStyleCnt="5" custScaleY="115981">
        <dgm:presLayoutVars>
          <dgm:chMax val="0"/>
          <dgm:chPref val="0"/>
          <dgm:bulletEnabled val="1"/>
        </dgm:presLayoutVars>
      </dgm:prSet>
      <dgm:spPr/>
      <dgm:t>
        <a:bodyPr/>
        <a:lstStyle/>
        <a:p>
          <a:endParaRPr lang="pl-PL"/>
        </a:p>
      </dgm:t>
    </dgm:pt>
    <dgm:pt modelId="{1A7E0F55-7C66-4F68-934F-A410C2287B34}" type="pres">
      <dgm:prSet presAssocID="{0D679D70-41FD-4D57-849A-A33E20956938}" presName="parTxOnlySpace" presStyleCnt="0"/>
      <dgm:spPr/>
    </dgm:pt>
    <dgm:pt modelId="{77667117-566C-4E7E-BB45-0CBF8C52F97C}" type="pres">
      <dgm:prSet presAssocID="{F80F8E83-60B7-4D46-8D4A-5F3E973FC974}" presName="parTxOnly" presStyleLbl="node1" presStyleIdx="1" presStyleCnt="5" custScaleY="115981">
        <dgm:presLayoutVars>
          <dgm:chMax val="0"/>
          <dgm:chPref val="0"/>
          <dgm:bulletEnabled val="1"/>
        </dgm:presLayoutVars>
      </dgm:prSet>
      <dgm:spPr/>
      <dgm:t>
        <a:bodyPr/>
        <a:lstStyle/>
        <a:p>
          <a:endParaRPr lang="pl-PL"/>
        </a:p>
      </dgm:t>
    </dgm:pt>
    <dgm:pt modelId="{1C91D9DE-9FCB-44D8-B1AC-E3D2A7B92111}" type="pres">
      <dgm:prSet presAssocID="{2707E9A5-150B-4B47-BE78-360EA277D92B}" presName="parTxOnlySpace" presStyleCnt="0"/>
      <dgm:spPr/>
    </dgm:pt>
    <dgm:pt modelId="{9D761AF7-D2FF-4EA7-A1C7-0FBD9B8935DA}" type="pres">
      <dgm:prSet presAssocID="{1DA7644A-0AD2-47BA-B122-262986B9B15E}" presName="parTxOnly" presStyleLbl="node1" presStyleIdx="2" presStyleCnt="5" custScaleY="109960">
        <dgm:presLayoutVars>
          <dgm:chMax val="0"/>
          <dgm:chPref val="0"/>
          <dgm:bulletEnabled val="1"/>
        </dgm:presLayoutVars>
      </dgm:prSet>
      <dgm:spPr/>
      <dgm:t>
        <a:bodyPr/>
        <a:lstStyle/>
        <a:p>
          <a:endParaRPr lang="pl-PL"/>
        </a:p>
      </dgm:t>
    </dgm:pt>
    <dgm:pt modelId="{3D94A7BD-9E68-48B4-9E6B-831256C3B23C}" type="pres">
      <dgm:prSet presAssocID="{190191E2-2756-48B5-ACCA-2B7B55D7B140}" presName="parTxOnlySpace" presStyleCnt="0"/>
      <dgm:spPr/>
    </dgm:pt>
    <dgm:pt modelId="{8B84DC3F-E8F4-4C71-AA9F-A9DBBA63BACE}" type="pres">
      <dgm:prSet presAssocID="{2E6DA657-87B8-4A8E-BF6D-6E63EF5F8E56}" presName="parTxOnly" presStyleLbl="node1" presStyleIdx="3" presStyleCnt="5" custScaleY="109960">
        <dgm:presLayoutVars>
          <dgm:chMax val="0"/>
          <dgm:chPref val="0"/>
          <dgm:bulletEnabled val="1"/>
        </dgm:presLayoutVars>
      </dgm:prSet>
      <dgm:spPr/>
      <dgm:t>
        <a:bodyPr/>
        <a:lstStyle/>
        <a:p>
          <a:endParaRPr lang="pl-PL"/>
        </a:p>
      </dgm:t>
    </dgm:pt>
    <dgm:pt modelId="{951D800A-6DB0-43E7-8C37-D0D776024305}" type="pres">
      <dgm:prSet presAssocID="{5E05A786-1BD2-4798-8B43-DAF062D82237}" presName="parTxOnlySpace" presStyleCnt="0"/>
      <dgm:spPr/>
    </dgm:pt>
    <dgm:pt modelId="{3AA58472-5828-4FE3-BA46-65C8008268E7}" type="pres">
      <dgm:prSet presAssocID="{8A097D56-70D4-49F1-9B63-6C554B8BAB7D}" presName="parTxOnly" presStyleLbl="node1" presStyleIdx="4" presStyleCnt="5" custScaleY="109960">
        <dgm:presLayoutVars>
          <dgm:chMax val="0"/>
          <dgm:chPref val="0"/>
          <dgm:bulletEnabled val="1"/>
        </dgm:presLayoutVars>
      </dgm:prSet>
      <dgm:spPr/>
      <dgm:t>
        <a:bodyPr/>
        <a:lstStyle/>
        <a:p>
          <a:endParaRPr lang="pl-PL"/>
        </a:p>
      </dgm:t>
    </dgm:pt>
  </dgm:ptLst>
  <dgm:cxnLst>
    <dgm:cxn modelId="{3C517788-6D24-48CB-9D17-EA65F38C695F}" type="presOf" srcId="{F80F8E83-60B7-4D46-8D4A-5F3E973FC974}" destId="{77667117-566C-4E7E-BB45-0CBF8C52F97C}" srcOrd="0" destOrd="0" presId="urn:microsoft.com/office/officeart/2005/8/layout/chevron1"/>
    <dgm:cxn modelId="{F2208E4B-5267-478A-B40B-B2E0152FEFD3}" srcId="{72D247FC-316C-4129-852A-FEB917ABAA5B}" destId="{F80F8E83-60B7-4D46-8D4A-5F3E973FC974}" srcOrd="1" destOrd="0" parTransId="{0EB8B519-5704-41D4-B735-444DD2E23ECE}" sibTransId="{2707E9A5-150B-4B47-BE78-360EA277D92B}"/>
    <dgm:cxn modelId="{2464307C-D557-4DA9-A7E0-132BA791E501}" type="presOf" srcId="{8A097D56-70D4-49F1-9B63-6C554B8BAB7D}" destId="{3AA58472-5828-4FE3-BA46-65C8008268E7}" srcOrd="0" destOrd="0" presId="urn:microsoft.com/office/officeart/2005/8/layout/chevron1"/>
    <dgm:cxn modelId="{D620B516-E57B-47C1-80B8-64E0099D3FEE}" type="presOf" srcId="{2E6DA657-87B8-4A8E-BF6D-6E63EF5F8E56}" destId="{8B84DC3F-E8F4-4C71-AA9F-A9DBBA63BACE}" srcOrd="0" destOrd="0" presId="urn:microsoft.com/office/officeart/2005/8/layout/chevron1"/>
    <dgm:cxn modelId="{01F76B45-4143-4EAF-9E5F-FF279AB42263}" type="presOf" srcId="{1DA7644A-0AD2-47BA-B122-262986B9B15E}" destId="{9D761AF7-D2FF-4EA7-A1C7-0FBD9B8935DA}" srcOrd="0" destOrd="0" presId="urn:microsoft.com/office/officeart/2005/8/layout/chevron1"/>
    <dgm:cxn modelId="{94F47CAD-1E21-44FC-AA81-CA41D1312AB0}" type="presOf" srcId="{72D247FC-316C-4129-852A-FEB917ABAA5B}" destId="{B805B65D-6C18-4817-A139-F35E95E6A21E}" srcOrd="0" destOrd="0" presId="urn:microsoft.com/office/officeart/2005/8/layout/chevron1"/>
    <dgm:cxn modelId="{D661FAD6-8B0B-419F-BB66-4F9B3CD9A5C6}" srcId="{72D247FC-316C-4129-852A-FEB917ABAA5B}" destId="{8A097D56-70D4-49F1-9B63-6C554B8BAB7D}" srcOrd="4" destOrd="0" parTransId="{19EBA2E2-B42C-4280-BFBF-2F40254380EA}" sibTransId="{A7783ED2-977A-41C0-AABE-429C21C4EC6A}"/>
    <dgm:cxn modelId="{36C406F8-C684-4157-B881-3F7A76C08BBA}" srcId="{72D247FC-316C-4129-852A-FEB917ABAA5B}" destId="{AEBD616B-84F4-4BA6-A287-287EE556AE4A}" srcOrd="0" destOrd="0" parTransId="{A022F0D8-FB64-41C5-A735-DFBBE73C99BF}" sibTransId="{0D679D70-41FD-4D57-849A-A33E20956938}"/>
    <dgm:cxn modelId="{CD080438-A948-40BC-9366-14687410D5CD}" srcId="{72D247FC-316C-4129-852A-FEB917ABAA5B}" destId="{1DA7644A-0AD2-47BA-B122-262986B9B15E}" srcOrd="2" destOrd="0" parTransId="{F74BFF01-7B5F-4477-929E-33245063E291}" sibTransId="{190191E2-2756-48B5-ACCA-2B7B55D7B140}"/>
    <dgm:cxn modelId="{8A1DA498-71DE-4163-A9EF-2E944EB835A2}" srcId="{72D247FC-316C-4129-852A-FEB917ABAA5B}" destId="{2E6DA657-87B8-4A8E-BF6D-6E63EF5F8E56}" srcOrd="3" destOrd="0" parTransId="{D58A9C5D-2D56-4691-98F7-484D0FE9AF53}" sibTransId="{5E05A786-1BD2-4798-8B43-DAF062D82237}"/>
    <dgm:cxn modelId="{06CA7142-19D5-4334-B888-A72F7DFB55F1}" type="presOf" srcId="{AEBD616B-84F4-4BA6-A287-287EE556AE4A}" destId="{7B7DC29B-C611-4EC4-A844-AC7F1CD723BB}" srcOrd="0" destOrd="0" presId="urn:microsoft.com/office/officeart/2005/8/layout/chevron1"/>
    <dgm:cxn modelId="{D22D5060-0511-4427-ACE4-BDBDA5F94C6E}" type="presParOf" srcId="{B805B65D-6C18-4817-A139-F35E95E6A21E}" destId="{7B7DC29B-C611-4EC4-A844-AC7F1CD723BB}" srcOrd="0" destOrd="0" presId="urn:microsoft.com/office/officeart/2005/8/layout/chevron1"/>
    <dgm:cxn modelId="{F31FF539-9CAF-4390-A122-D0FA634AAAC3}" type="presParOf" srcId="{B805B65D-6C18-4817-A139-F35E95E6A21E}" destId="{1A7E0F55-7C66-4F68-934F-A410C2287B34}" srcOrd="1" destOrd="0" presId="urn:microsoft.com/office/officeart/2005/8/layout/chevron1"/>
    <dgm:cxn modelId="{945157F4-3C63-4263-8783-1A1139D5C554}" type="presParOf" srcId="{B805B65D-6C18-4817-A139-F35E95E6A21E}" destId="{77667117-566C-4E7E-BB45-0CBF8C52F97C}" srcOrd="2" destOrd="0" presId="urn:microsoft.com/office/officeart/2005/8/layout/chevron1"/>
    <dgm:cxn modelId="{EF1A1992-B3AF-4A5E-80B9-111EA6BF889D}" type="presParOf" srcId="{B805B65D-6C18-4817-A139-F35E95E6A21E}" destId="{1C91D9DE-9FCB-44D8-B1AC-E3D2A7B92111}" srcOrd="3" destOrd="0" presId="urn:microsoft.com/office/officeart/2005/8/layout/chevron1"/>
    <dgm:cxn modelId="{AFD62EAE-C400-460E-AA7D-E3665B4BB4A4}" type="presParOf" srcId="{B805B65D-6C18-4817-A139-F35E95E6A21E}" destId="{9D761AF7-D2FF-4EA7-A1C7-0FBD9B8935DA}" srcOrd="4" destOrd="0" presId="urn:microsoft.com/office/officeart/2005/8/layout/chevron1"/>
    <dgm:cxn modelId="{2A763786-59F9-4BF1-A797-16AE1CC50556}" type="presParOf" srcId="{B805B65D-6C18-4817-A139-F35E95E6A21E}" destId="{3D94A7BD-9E68-48B4-9E6B-831256C3B23C}" srcOrd="5" destOrd="0" presId="urn:microsoft.com/office/officeart/2005/8/layout/chevron1"/>
    <dgm:cxn modelId="{DAC11EE4-5414-45E8-A94D-B3FA13874343}" type="presParOf" srcId="{B805B65D-6C18-4817-A139-F35E95E6A21E}" destId="{8B84DC3F-E8F4-4C71-AA9F-A9DBBA63BACE}" srcOrd="6" destOrd="0" presId="urn:microsoft.com/office/officeart/2005/8/layout/chevron1"/>
    <dgm:cxn modelId="{7956F314-7CB5-4311-8BDB-B65BC3E58778}" type="presParOf" srcId="{B805B65D-6C18-4817-A139-F35E95E6A21E}" destId="{951D800A-6DB0-43E7-8C37-D0D776024305}" srcOrd="7" destOrd="0" presId="urn:microsoft.com/office/officeart/2005/8/layout/chevron1"/>
    <dgm:cxn modelId="{F3E3D0EC-E205-4934-9531-FCDD9B8462C3}" type="presParOf" srcId="{B805B65D-6C18-4817-A139-F35E95E6A21E}" destId="{3AA58472-5828-4FE3-BA46-65C8008268E7}" srcOrd="8" destOrd="0" presId="urn:microsoft.com/office/officeart/2005/8/layout/chevron1"/>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20FF2-57A1-4C83-871A-6DEEC438D8B2}">
      <dsp:nvSpPr>
        <dsp:cNvPr id="0" name=""/>
        <dsp:cNvSpPr/>
      </dsp:nvSpPr>
      <dsp:spPr>
        <a:xfrm>
          <a:off x="1618127" y="1490953"/>
          <a:ext cx="1662732" cy="712269"/>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Garamond" panose="02020404030301010803" pitchFamily="18" charset="0"/>
            </a:rPr>
            <a:t>Najważniejsze problemy i bariery rozwojowe</a:t>
          </a:r>
        </a:p>
        <a:p>
          <a:pPr lvl="0" algn="ctr" defTabSz="355600">
            <a:lnSpc>
              <a:spcPct val="90000"/>
            </a:lnSpc>
            <a:spcBef>
              <a:spcPct val="0"/>
            </a:spcBef>
            <a:spcAft>
              <a:spcPct val="35000"/>
            </a:spcAft>
          </a:pPr>
          <a:r>
            <a:rPr lang="pl-PL" sz="800" b="1" kern="1200">
              <a:latin typeface="Garamond" panose="02020404030301010803" pitchFamily="18" charset="0"/>
            </a:rPr>
            <a:t>Potencjały i szanse obszaru</a:t>
          </a:r>
        </a:p>
      </dsp:txBody>
      <dsp:txXfrm>
        <a:off x="1861628" y="1595262"/>
        <a:ext cx="1175730" cy="503651"/>
      </dsp:txXfrm>
    </dsp:sp>
    <dsp:sp modelId="{ED43ED6F-F042-4B5C-A6CA-773FB756FEC4}">
      <dsp:nvSpPr>
        <dsp:cNvPr id="0" name=""/>
        <dsp:cNvSpPr/>
      </dsp:nvSpPr>
      <dsp:spPr>
        <a:xfrm rot="16200000">
          <a:off x="2062804" y="109126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1084928"/>
        <a:ext cx="38669" cy="38669"/>
      </dsp:txXfrm>
    </dsp:sp>
    <dsp:sp modelId="{15634350-AB96-4D2D-A443-E57EE732F7B8}">
      <dsp:nvSpPr>
        <dsp:cNvPr id="0" name=""/>
        <dsp:cNvSpPr/>
      </dsp:nvSpPr>
      <dsp:spPr>
        <a:xfrm>
          <a:off x="1995701" y="14208"/>
          <a:ext cx="90758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Podział terytorialny i sytuacja demograficzna</a:t>
          </a:r>
        </a:p>
      </dsp:txBody>
      <dsp:txXfrm>
        <a:off x="2128614" y="117213"/>
        <a:ext cx="641760" cy="497354"/>
      </dsp:txXfrm>
    </dsp:sp>
    <dsp:sp modelId="{E12C8E31-D423-489C-AEF7-9DDCF3D7FB70}">
      <dsp:nvSpPr>
        <dsp:cNvPr id="0" name=""/>
        <dsp:cNvSpPr/>
      </dsp:nvSpPr>
      <dsp:spPr>
        <a:xfrm rot="18360000">
          <a:off x="2550381" y="1207173"/>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1202436"/>
        <a:ext cx="35459" cy="35459"/>
      </dsp:txXfrm>
    </dsp:sp>
    <dsp:sp modelId="{21FA447B-E2D5-433F-9EB7-879AB4A9E12F}">
      <dsp:nvSpPr>
        <dsp:cNvPr id="0" name=""/>
        <dsp:cNvSpPr/>
      </dsp:nvSpPr>
      <dsp:spPr>
        <a:xfrm>
          <a:off x="2968437" y="29709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Gospodarka i rynek pracy</a:t>
          </a:r>
        </a:p>
      </dsp:txBody>
      <dsp:txXfrm>
        <a:off x="3071442" y="400097"/>
        <a:ext cx="497354" cy="497354"/>
      </dsp:txXfrm>
    </dsp:sp>
    <dsp:sp modelId="{E4A5160F-454F-47F3-A56A-EEE6ACE27E6B}">
      <dsp:nvSpPr>
        <dsp:cNvPr id="0" name=""/>
        <dsp:cNvSpPr/>
      </dsp:nvSpPr>
      <dsp:spPr>
        <a:xfrm rot="20520000">
          <a:off x="3101278" y="155196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1554131"/>
        <a:ext cx="21652" cy="21652"/>
      </dsp:txXfrm>
    </dsp:sp>
    <dsp:sp modelId="{2C92EFED-6ADA-459D-888D-D4FF01063C94}">
      <dsp:nvSpPr>
        <dsp:cNvPr id="0" name=""/>
        <dsp:cNvSpPr/>
      </dsp:nvSpPr>
      <dsp:spPr>
        <a:xfrm>
          <a:off x="3506514" y="103769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Pomoc społeczna</a:t>
          </a:r>
        </a:p>
      </dsp:txBody>
      <dsp:txXfrm>
        <a:off x="3609519" y="1140695"/>
        <a:ext cx="497354" cy="497354"/>
      </dsp:txXfrm>
    </dsp:sp>
    <dsp:sp modelId="{9008425F-2E4F-4BEC-AD50-E2C2436DAE7A}">
      <dsp:nvSpPr>
        <dsp:cNvPr id="0" name=""/>
        <dsp:cNvSpPr/>
      </dsp:nvSpPr>
      <dsp:spPr>
        <a:xfrm rot="1080000">
          <a:off x="3101278" y="2116224"/>
          <a:ext cx="433045" cy="25986"/>
        </a:xfrm>
        <a:custGeom>
          <a:avLst/>
          <a:gdLst/>
          <a:ahLst/>
          <a:cxnLst/>
          <a:rect l="0" t="0" r="0" b="0"/>
          <a:pathLst>
            <a:path>
              <a:moveTo>
                <a:pt x="0" y="12993"/>
              </a:moveTo>
              <a:lnTo>
                <a:pt x="43304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3306975" y="2118391"/>
        <a:ext cx="21652" cy="21652"/>
      </dsp:txXfrm>
    </dsp:sp>
    <dsp:sp modelId="{17B40CFA-9BF8-48BA-822F-FBD07A36EFD5}">
      <dsp:nvSpPr>
        <dsp:cNvPr id="0" name=""/>
        <dsp:cNvSpPr/>
      </dsp:nvSpPr>
      <dsp:spPr>
        <a:xfrm>
          <a:off x="3506514" y="1953120"/>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Ochrona zdrowia</a:t>
          </a:r>
        </a:p>
      </dsp:txBody>
      <dsp:txXfrm>
        <a:off x="3609519" y="2056125"/>
        <a:ext cx="497354" cy="497354"/>
      </dsp:txXfrm>
    </dsp:sp>
    <dsp:sp modelId="{3989332B-8774-4ADA-A648-F9A8B8A06265}">
      <dsp:nvSpPr>
        <dsp:cNvPr id="0" name=""/>
        <dsp:cNvSpPr/>
      </dsp:nvSpPr>
      <dsp:spPr>
        <a:xfrm rot="3240000">
          <a:off x="2550381" y="2461015"/>
          <a:ext cx="709194" cy="25986"/>
        </a:xfrm>
        <a:custGeom>
          <a:avLst/>
          <a:gdLst/>
          <a:ahLst/>
          <a:cxnLst/>
          <a:rect l="0" t="0" r="0" b="0"/>
          <a:pathLst>
            <a:path>
              <a:moveTo>
                <a:pt x="0" y="12993"/>
              </a:moveTo>
              <a:lnTo>
                <a:pt x="709194"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887249" y="2456279"/>
        <a:ext cx="35459" cy="35459"/>
      </dsp:txXfrm>
    </dsp:sp>
    <dsp:sp modelId="{ACAD1135-4BA3-4B2E-9B97-E0224F4B1D7B}">
      <dsp:nvSpPr>
        <dsp:cNvPr id="0" name=""/>
        <dsp:cNvSpPr/>
      </dsp:nvSpPr>
      <dsp:spPr>
        <a:xfrm>
          <a:off x="2968437" y="2693719"/>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Edukacja</a:t>
          </a:r>
        </a:p>
      </dsp:txBody>
      <dsp:txXfrm>
        <a:off x="3071442" y="2796724"/>
        <a:ext cx="497354" cy="497354"/>
      </dsp:txXfrm>
    </dsp:sp>
    <dsp:sp modelId="{6BFF7F9A-5AB8-4284-B30C-75BBEF57EE72}">
      <dsp:nvSpPr>
        <dsp:cNvPr id="0" name=""/>
        <dsp:cNvSpPr/>
      </dsp:nvSpPr>
      <dsp:spPr>
        <a:xfrm rot="5400000">
          <a:off x="2062804" y="2576919"/>
          <a:ext cx="773380" cy="25986"/>
        </a:xfrm>
        <a:custGeom>
          <a:avLst/>
          <a:gdLst/>
          <a:ahLst/>
          <a:cxnLst/>
          <a:rect l="0" t="0" r="0" b="0"/>
          <a:pathLst>
            <a:path>
              <a:moveTo>
                <a:pt x="0" y="12993"/>
              </a:moveTo>
              <a:lnTo>
                <a:pt x="773380"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a:off x="2430159" y="2570578"/>
        <a:ext cx="38669" cy="38669"/>
      </dsp:txXfrm>
    </dsp:sp>
    <dsp:sp modelId="{DDAC3574-C10E-4ED8-BB08-8B9D72F274F3}">
      <dsp:nvSpPr>
        <dsp:cNvPr id="0" name=""/>
        <dsp:cNvSpPr/>
      </dsp:nvSpPr>
      <dsp:spPr>
        <a:xfrm>
          <a:off x="2097811" y="2976602"/>
          <a:ext cx="703364"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Kultura</a:t>
          </a:r>
        </a:p>
      </dsp:txBody>
      <dsp:txXfrm>
        <a:off x="2200816" y="3079607"/>
        <a:ext cx="497354" cy="497354"/>
      </dsp:txXfrm>
    </dsp:sp>
    <dsp:sp modelId="{789A202D-A376-427F-B2A5-C396F1235558}">
      <dsp:nvSpPr>
        <dsp:cNvPr id="0" name=""/>
        <dsp:cNvSpPr/>
      </dsp:nvSpPr>
      <dsp:spPr>
        <a:xfrm rot="7560000">
          <a:off x="1651097" y="2455061"/>
          <a:ext cx="694475" cy="25986"/>
        </a:xfrm>
        <a:custGeom>
          <a:avLst/>
          <a:gdLst/>
          <a:ahLst/>
          <a:cxnLst/>
          <a:rect l="0" t="0" r="0" b="0"/>
          <a:pathLst>
            <a:path>
              <a:moveTo>
                <a:pt x="0" y="12993"/>
              </a:moveTo>
              <a:lnTo>
                <a:pt x="694475"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980973" y="2450693"/>
        <a:ext cx="34723" cy="34723"/>
      </dsp:txXfrm>
    </dsp:sp>
    <dsp:sp modelId="{B462CBE6-3C75-49C6-ADD9-EF0C0FE1F1ED}">
      <dsp:nvSpPr>
        <dsp:cNvPr id="0" name=""/>
        <dsp:cNvSpPr/>
      </dsp:nvSpPr>
      <dsp:spPr>
        <a:xfrm>
          <a:off x="1178639" y="2693719"/>
          <a:ext cx="800456"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Obszary problemowe wymagające rewitalizacji</a:t>
          </a:r>
        </a:p>
      </dsp:txBody>
      <dsp:txXfrm>
        <a:off x="1295863" y="2796724"/>
        <a:ext cx="566008" cy="497354"/>
      </dsp:txXfrm>
    </dsp:sp>
    <dsp:sp modelId="{9E6688C1-6275-40C8-B2E5-23B7ECE4FA27}">
      <dsp:nvSpPr>
        <dsp:cNvPr id="0" name=""/>
        <dsp:cNvSpPr/>
      </dsp:nvSpPr>
      <dsp:spPr>
        <a:xfrm rot="9720000">
          <a:off x="1388279" y="2112484"/>
          <a:ext cx="408838" cy="25986"/>
        </a:xfrm>
        <a:custGeom>
          <a:avLst/>
          <a:gdLst/>
          <a:ahLst/>
          <a:cxnLst/>
          <a:rect l="0" t="0" r="0" b="0"/>
          <a:pathLst>
            <a:path>
              <a:moveTo>
                <a:pt x="0" y="12993"/>
              </a:moveTo>
              <a:lnTo>
                <a:pt x="408838"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2477" y="2115256"/>
        <a:ext cx="20441" cy="20441"/>
      </dsp:txXfrm>
    </dsp:sp>
    <dsp:sp modelId="{BF45FA24-BFCD-47BE-9B69-B591596325B9}">
      <dsp:nvSpPr>
        <dsp:cNvPr id="0" name=""/>
        <dsp:cNvSpPr/>
      </dsp:nvSpPr>
      <dsp:spPr>
        <a:xfrm>
          <a:off x="662044" y="1953120"/>
          <a:ext cx="757495"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Środowisko przyrodnicze</a:t>
          </a:r>
        </a:p>
      </dsp:txBody>
      <dsp:txXfrm>
        <a:off x="772977" y="2056125"/>
        <a:ext cx="535629" cy="497354"/>
      </dsp:txXfrm>
    </dsp:sp>
    <dsp:sp modelId="{287CF212-B62B-43AB-B08B-16C792A6ED1E}">
      <dsp:nvSpPr>
        <dsp:cNvPr id="0" name=""/>
        <dsp:cNvSpPr/>
      </dsp:nvSpPr>
      <dsp:spPr>
        <a:xfrm rot="11880000">
          <a:off x="1384154" y="1555051"/>
          <a:ext cx="413066" cy="25986"/>
        </a:xfrm>
        <a:custGeom>
          <a:avLst/>
          <a:gdLst/>
          <a:ahLst/>
          <a:cxnLst/>
          <a:rect l="0" t="0" r="0" b="0"/>
          <a:pathLst>
            <a:path>
              <a:moveTo>
                <a:pt x="0" y="12993"/>
              </a:moveTo>
              <a:lnTo>
                <a:pt x="413066" y="12993"/>
              </a:lnTo>
            </a:path>
          </a:pathLst>
        </a:custGeom>
        <a:noFill/>
        <a:ln w="25400" cap="flat" cmpd="sng" algn="ctr">
          <a:solidFill>
            <a:srgbClr val="4F2D7F"/>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pl-PL" sz="800" kern="1200">
            <a:latin typeface="Garamond" panose="02020404030301010803" pitchFamily="18" charset="0"/>
          </a:endParaRPr>
        </a:p>
      </dsp:txBody>
      <dsp:txXfrm rot="10800000">
        <a:off x="1580361" y="1557718"/>
        <a:ext cx="20653" cy="20653"/>
      </dsp:txXfrm>
    </dsp:sp>
    <dsp:sp modelId="{78C0088D-A52C-4D2D-9430-6081988EBB55}">
      <dsp:nvSpPr>
        <dsp:cNvPr id="0" name=""/>
        <dsp:cNvSpPr/>
      </dsp:nvSpPr>
      <dsp:spPr>
        <a:xfrm>
          <a:off x="666816" y="1037690"/>
          <a:ext cx="747950"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Infrastruktura techniczna</a:t>
          </a:r>
        </a:p>
      </dsp:txBody>
      <dsp:txXfrm>
        <a:off x="776351" y="1140695"/>
        <a:ext cx="528880" cy="497354"/>
      </dsp:txXfrm>
    </dsp:sp>
    <dsp:sp modelId="{875AF691-5E4F-4AAF-A98B-D168D4ABB70D}">
      <dsp:nvSpPr>
        <dsp:cNvPr id="0" name=""/>
        <dsp:cNvSpPr/>
      </dsp:nvSpPr>
      <dsp:spPr>
        <a:xfrm rot="14040000">
          <a:off x="1649387" y="1212256"/>
          <a:ext cx="696628" cy="25986"/>
        </a:xfrm>
        <a:custGeom>
          <a:avLst/>
          <a:gdLst/>
          <a:ahLst/>
          <a:cxnLst/>
          <a:rect l="0" t="0" r="0" b="0"/>
          <a:pathLst>
            <a:path>
              <a:moveTo>
                <a:pt x="0" y="12993"/>
              </a:moveTo>
              <a:lnTo>
                <a:pt x="696628" y="12993"/>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1980286" y="1207834"/>
        <a:ext cx="34831" cy="34831"/>
      </dsp:txXfrm>
    </dsp:sp>
    <dsp:sp modelId="{E106EA8C-A49F-4F67-93A6-D8827BB4FFC8}">
      <dsp:nvSpPr>
        <dsp:cNvPr id="0" name=""/>
        <dsp:cNvSpPr/>
      </dsp:nvSpPr>
      <dsp:spPr>
        <a:xfrm>
          <a:off x="1186591" y="297092"/>
          <a:ext cx="784553" cy="703364"/>
        </a:xfrm>
        <a:prstGeom prst="ellipse">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latin typeface="Garamond" panose="02020404030301010803" pitchFamily="18" charset="0"/>
            </a:rPr>
            <a:t>Efektywność energetyczna</a:t>
          </a:r>
        </a:p>
      </dsp:txBody>
      <dsp:txXfrm>
        <a:off x="1301486" y="400097"/>
        <a:ext cx="554763" cy="497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DC29B-C611-4EC4-A844-AC7F1CD723BB}">
      <dsp:nvSpPr>
        <dsp:cNvPr id="0" name=""/>
        <dsp:cNvSpPr/>
      </dsp:nvSpPr>
      <dsp:spPr>
        <a:xfrm>
          <a:off x="1365"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Diagnoza</a:t>
          </a:r>
        </a:p>
      </dsp:txBody>
      <dsp:txXfrm>
        <a:off x="283296" y="168068"/>
        <a:ext cx="651558" cy="563862"/>
      </dsp:txXfrm>
    </dsp:sp>
    <dsp:sp modelId="{77667117-566C-4E7E-BB45-0CBF8C52F97C}">
      <dsp:nvSpPr>
        <dsp:cNvPr id="0" name=""/>
        <dsp:cNvSpPr/>
      </dsp:nvSpPr>
      <dsp:spPr>
        <a:xfrm>
          <a:off x="1095243" y="168068"/>
          <a:ext cx="1215420" cy="563862"/>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Główne problemy rozwojowe, uwarunkowania i potencjały </a:t>
          </a:r>
        </a:p>
      </dsp:txBody>
      <dsp:txXfrm>
        <a:off x="1377174" y="168068"/>
        <a:ext cx="651558" cy="563862"/>
      </dsp:txXfrm>
    </dsp:sp>
    <dsp:sp modelId="{9D761AF7-D2FF-4EA7-A1C7-0FBD9B8935DA}">
      <dsp:nvSpPr>
        <dsp:cNvPr id="0" name=""/>
        <dsp:cNvSpPr/>
      </dsp:nvSpPr>
      <dsp:spPr>
        <a:xfrm>
          <a:off x="2189121"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Cele rozwojowe</a:t>
          </a:r>
        </a:p>
      </dsp:txBody>
      <dsp:txXfrm>
        <a:off x="2456416" y="182704"/>
        <a:ext cx="680830" cy="534590"/>
      </dsp:txXfrm>
    </dsp:sp>
    <dsp:sp modelId="{8B84DC3F-E8F4-4C71-AA9F-A9DBBA63BACE}">
      <dsp:nvSpPr>
        <dsp:cNvPr id="0" name=""/>
        <dsp:cNvSpPr/>
      </dsp:nvSpPr>
      <dsp:spPr>
        <a:xfrm>
          <a:off x="3283000"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Priorytety inwestycyjne</a:t>
          </a:r>
        </a:p>
      </dsp:txBody>
      <dsp:txXfrm>
        <a:off x="3550295" y="182704"/>
        <a:ext cx="680830" cy="534590"/>
      </dsp:txXfrm>
    </dsp:sp>
    <dsp:sp modelId="{3AA58472-5828-4FE3-BA46-65C8008268E7}">
      <dsp:nvSpPr>
        <dsp:cNvPr id="0" name=""/>
        <dsp:cNvSpPr/>
      </dsp:nvSpPr>
      <dsp:spPr>
        <a:xfrm>
          <a:off x="4376878" y="182704"/>
          <a:ext cx="1215420" cy="534590"/>
        </a:xfrm>
        <a:prstGeom prst="chevron">
          <a:avLst/>
        </a:prstGeom>
        <a:solidFill>
          <a:schemeClr val="lt1">
            <a:hueOff val="0"/>
            <a:satOff val="0"/>
            <a:lumOff val="0"/>
            <a:alphaOff val="0"/>
          </a:schemeClr>
        </a:solidFill>
        <a:ln w="25400" cap="flat" cmpd="sng" algn="ctr">
          <a:solidFill>
            <a:srgbClr val="4F2D7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pl-PL" sz="800" kern="1200">
              <a:latin typeface="Garamond" pitchFamily="18" charset="0"/>
            </a:rPr>
            <a:t>Lista przedsięwzięć oraz instrumenty realizacji</a:t>
          </a:r>
        </a:p>
      </dsp:txBody>
      <dsp:txXfrm>
        <a:off x="4644173" y="182704"/>
        <a:ext cx="680830" cy="5345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0.87326</cdr:x>
      <cdr:y>0.28613</cdr:y>
    </cdr:from>
    <cdr:to>
      <cdr:x>0.97917</cdr:x>
      <cdr:y>0.36416</cdr:y>
    </cdr:to>
    <cdr:sp macro="" textlink="">
      <cdr:nvSpPr>
        <cdr:cNvPr id="2" name="pole tekstowe 1"/>
        <cdr:cNvSpPr txBox="1"/>
      </cdr:nvSpPr>
      <cdr:spPr>
        <a:xfrm xmlns:a="http://schemas.openxmlformats.org/drawingml/2006/main">
          <a:off x="3992562" y="785812"/>
          <a:ext cx="484188" cy="2143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11,3</a:t>
          </a:r>
        </a:p>
      </cdr:txBody>
    </cdr:sp>
  </cdr:relSizeAnchor>
  <cdr:relSizeAnchor xmlns:cdr="http://schemas.openxmlformats.org/drawingml/2006/chartDrawing">
    <cdr:from>
      <cdr:x>0.88194</cdr:x>
      <cdr:y>0.49133</cdr:y>
    </cdr:from>
    <cdr:to>
      <cdr:x>0.97222</cdr:x>
      <cdr:y>0.55202</cdr:y>
    </cdr:to>
    <cdr:sp macro="" textlink="">
      <cdr:nvSpPr>
        <cdr:cNvPr id="3" name="pole tekstowe 2"/>
        <cdr:cNvSpPr txBox="1"/>
      </cdr:nvSpPr>
      <cdr:spPr>
        <a:xfrm xmlns:a="http://schemas.openxmlformats.org/drawingml/2006/main">
          <a:off x="4032251" y="1349375"/>
          <a:ext cx="412750" cy="1666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Garamond" pitchFamily="18" charset="0"/>
            </a:rPr>
            <a:t>8,8</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86F8D-7FDD-4C08-8CB8-9F6823A3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53210</Words>
  <Characters>319265</Characters>
  <Application>Microsoft Office Word</Application>
  <DocSecurity>0</DocSecurity>
  <Lines>2660</Lines>
  <Paragraphs>743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371732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Szczepaniak</dc:creator>
  <cp:lastModifiedBy>Anna Szczepaniak</cp:lastModifiedBy>
  <cp:revision>40</cp:revision>
  <cp:lastPrinted>2018-05-14T07:28:00Z</cp:lastPrinted>
  <dcterms:created xsi:type="dcterms:W3CDTF">2018-05-07T12:43:00Z</dcterms:created>
  <dcterms:modified xsi:type="dcterms:W3CDTF">2018-07-13T05:31:00Z</dcterms:modified>
</cp:coreProperties>
</file>